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9adfa60341a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19087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ŠKOLA DUGA RESA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949.224,08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1.065.559,55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1.050.233,23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1.042.780,01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22.779,54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19.032,04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4.121,18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19.032,04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4.121,18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18.658,36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poslovanja u iznosu 1.065.559,55 su pretežno prihodi nadležnog proračuna u iznosu od </w:t>
      </w:r>
      <w:r>
        <w:br/>
      </w:r>
      <w:r>
        <w:t xml:space="preserve">145.663,11€ a odnose se na prihode za redovno poslovanje škole i nabavu nefinancijske imovine, prihodi MZOM 858.409,40€, a odnose se na prihode za plaće i materijalna prava zaposlenika, prijeno između proračunskih korisnika u iznosu od 3.400,00€, vlastiti prihoda u iznosu od 32.055,61€ i sredstva za troškove smještaja i prehrane u učeničkom domu u iznosu 21.640,25€. Manjak prihoda nastao je zbog knjiženja plaće za 06/2026 na rashode poslovanja, a prihodi za isti nisu ostvareni. 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754.096,17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858.409,40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113,8</w:t>
            </w:r>
          </w:p>
        </w:tc>
      </w:tr>
    </w:tbl>
    <w:p>
      <w:pPr>
        <w:spacing w:before="0" w:after="0"/>
      </w:pPr>
    </w:p>
    <w:p>
      <w:r>
        <w:t xml:space="preserve">Prihodi su veći u odnosu na prethodnu godinu zbog povećanja osnovice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je bila partner sa Glazbenom školom u projektu te Glazbena škola dobivena sredstva od projekta uplatila na račun Srednje škole Duga Resa.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28.520,19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21.640,25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75,9</w:t>
            </w:r>
          </w:p>
        </w:tc>
      </w:tr>
    </w:tbl>
    <w:p>
      <w:pPr>
        <w:spacing w:before="0" w:after="0"/>
      </w:pPr>
    </w:p>
    <w:p>
      <w:r>
        <w:t xml:space="preserve">U odnosu na prošlu godinu, ove godine je manji broj upisane djece bilo u učeničkom dom te je samim time i manji broj uplata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27.957,29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32.055,61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114,7</w:t>
            </w:r>
          </w:p>
        </w:tc>
      </w:tr>
    </w:tbl>
    <w:p>
      <w:pPr>
        <w:spacing w:before="0" w:after="0"/>
      </w:pPr>
    </w:p>
    <w:p>
      <w:r>
        <w:t xml:space="preserve">Prema Odluci Školskog odbora Srednje škole Duga Resa od travnja škola naplaćuje izradu duplikata/prijepisa svjedodžbe pa samim time su i prihodi veći.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4,4</w:t>
            </w:r>
          </w:p>
        </w:tc>
      </w:tr>
    </w:tbl>
    <w:p>
      <w:pPr>
        <w:spacing w:before="0" w:after="0"/>
      </w:pPr>
    </w:p>
    <w:p>
      <w:r>
        <w:t xml:space="preserve">Razlika je manja u odnosu na prošlu godinu, budući su prošle godine kupljeni softweri za nastavu.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troškova zaposlenima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1.073,40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1.558,70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145,2</w:t>
            </w:r>
          </w:p>
        </w:tc>
      </w:tr>
    </w:tbl>
    <w:p>
      <w:pPr>
        <w:spacing w:before="0" w:after="0"/>
      </w:pPr>
    </w:p>
    <w:p>
      <w:r>
        <w:t xml:space="preserve">Službena putovanja su u porastu, pa samim time i putni troškovi.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1106,2</w:t>
            </w:r>
          </w:p>
        </w:tc>
      </w:tr>
    </w:tbl>
    <w:p>
      <w:pPr>
        <w:spacing w:before="0" w:after="0"/>
      </w:pPr>
    </w:p>
    <w:p>
      <w:r>
        <w:t xml:space="preserve">Rashodi su povećani zbog učlanjenja u stručna glasila i savjete za tajnike i računovođe.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1.389,41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399,5</w:t>
            </w:r>
          </w:p>
        </w:tc>
      </w:tr>
    </w:tbl>
    <w:p>
      <w:pPr>
        <w:spacing w:before="0" w:after="0"/>
      </w:pPr>
    </w:p>
    <w:p>
      <w:r>
        <w:t xml:space="preserve">Zbog državnih natjecanja, škola je financirala kupnje dresova za muške i ženske timove.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19.032,04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4.121,18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21,7</w:t>
            </w:r>
          </w:p>
        </w:tc>
      </w:tr>
    </w:tbl>
    <w:p>
      <w:pPr>
        <w:spacing w:before="0" w:after="0"/>
      </w:pPr>
    </w:p>
    <w:p>
      <w:r>
        <w:t xml:space="preserve">U prošloj godini su kupljeni klima uređaji, softweri te hladnjak te iz tog razloga je u ovoj godini manji rashod jer nije bilo potrebe za nabavom nefinancijske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107.527,96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124.730,08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116,0</w:t>
            </w:r>
          </w:p>
        </w:tc>
      </w:tr>
    </w:tbl>
    <w:p>
      <w:pPr>
        <w:spacing w:before="0" w:after="0"/>
      </w:pPr>
    </w:p>
    <w:p>
      <w:r>
        <w:t xml:space="preserve">Veliki manjak prihoda dogodio se jer se plaća za 06/2026. knjiži na trošak a prihod će biti ostvaren u mjesecu srpnju 2026. godine.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u ovom izvještajnom razdoblju su nedospjele stoga je šifra stanja dospjelih obveza jednaka nuli.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8bec24854d4186" /></Relationships>
</file>