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DA1" w:rsidRDefault="000C790A">
      <w:pPr>
        <w:spacing w:after="0"/>
        <w:jc w:val="center"/>
        <w:rPr>
          <w:rFonts w:cstheme="minorHAnsi"/>
        </w:rPr>
      </w:pPr>
      <w:r>
        <w:rPr>
          <w:rFonts w:cstheme="minorHAnsi"/>
        </w:rPr>
        <w:t>Na temelju članka 32. Statuta Srednje škole Duga Resa Školski odbor na</w:t>
      </w:r>
    </w:p>
    <w:p w:rsidR="003D4DA1" w:rsidRDefault="000C790A">
      <w:pPr>
        <w:spacing w:after="0"/>
        <w:jc w:val="center"/>
        <w:rPr>
          <w:rFonts w:cstheme="minorHAnsi"/>
        </w:rPr>
      </w:pPr>
      <w:r>
        <w:rPr>
          <w:rFonts w:cstheme="minorHAnsi"/>
        </w:rPr>
        <w:t>sjednici 21.07.2026. godine donosi obrazloženje polugodišnjeg</w:t>
      </w:r>
    </w:p>
    <w:p w:rsidR="003D4DA1" w:rsidRDefault="000C790A">
      <w:pPr>
        <w:spacing w:after="0"/>
        <w:jc w:val="center"/>
        <w:rPr>
          <w:rFonts w:cstheme="minorHAnsi"/>
          <w:b/>
        </w:rPr>
      </w:pPr>
      <w:r>
        <w:rPr>
          <w:rFonts w:cstheme="minorHAnsi"/>
        </w:rPr>
        <w:t>izvještaja o izvršenju financijskog plana</w:t>
      </w:r>
    </w:p>
    <w:p w:rsidR="003D4DA1" w:rsidRDefault="003D4DA1">
      <w:pPr>
        <w:pBdr>
          <w:bottom w:val="double" w:sz="4" w:space="1" w:color="auto"/>
        </w:pBdr>
        <w:spacing w:after="0" w:line="240" w:lineRule="auto"/>
        <w:jc w:val="center"/>
        <w:rPr>
          <w:rFonts w:cstheme="minorHAnsi"/>
          <w:b/>
        </w:rPr>
      </w:pPr>
    </w:p>
    <w:p w:rsidR="003D4DA1" w:rsidRDefault="000C790A">
      <w:pPr>
        <w:pBdr>
          <w:bottom w:val="double" w:sz="4" w:space="1" w:color="auto"/>
        </w:pBdr>
        <w:spacing w:after="0" w:line="240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OBRAZLOŽENJE POLUGODIŠNJEG IZVJEŠTAJA O IZVRŠENJU FINANCIJSKOG PLANA PRORAČUNSKOG KORISNIKA</w:t>
      </w:r>
    </w:p>
    <w:p w:rsidR="003D4DA1" w:rsidRDefault="003D4DA1">
      <w:pPr>
        <w:pBdr>
          <w:bottom w:val="double" w:sz="4" w:space="1" w:color="auto"/>
        </w:pBdr>
        <w:spacing w:after="0" w:line="240" w:lineRule="auto"/>
        <w:rPr>
          <w:rFonts w:cstheme="minorHAnsi"/>
          <w:b/>
          <w:highlight w:val="yellow"/>
        </w:rPr>
      </w:pPr>
    </w:p>
    <w:p w:rsidR="003D4DA1" w:rsidRDefault="003D4DA1">
      <w:pPr>
        <w:pBdr>
          <w:bottom w:val="double" w:sz="4" w:space="1" w:color="auto"/>
        </w:pBdr>
        <w:spacing w:after="0" w:line="240" w:lineRule="auto"/>
        <w:rPr>
          <w:rFonts w:cstheme="minorHAnsi"/>
          <w:b/>
          <w:highlight w:val="yellow"/>
        </w:rPr>
      </w:pPr>
    </w:p>
    <w:p w:rsidR="003D4DA1" w:rsidRDefault="000C790A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ŠIFRA I NAZIV KORISNIKA: 12-39 Srednja škola Duga Resa</w:t>
      </w:r>
    </w:p>
    <w:p w:rsidR="003D4DA1" w:rsidRDefault="003D4DA1">
      <w:pPr>
        <w:spacing w:after="0" w:line="240" w:lineRule="auto"/>
        <w:rPr>
          <w:rFonts w:cstheme="minorHAnsi"/>
          <w:b/>
          <w:highlight w:val="yellow"/>
        </w:rPr>
      </w:pPr>
    </w:p>
    <w:p w:rsidR="003D4DA1" w:rsidRDefault="000C790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SAŽETAK DJELOKRUGA RADA:</w:t>
      </w:r>
    </w:p>
    <w:p w:rsidR="003D4DA1" w:rsidRDefault="000C790A">
      <w:pPr>
        <w:spacing w:after="0"/>
        <w:jc w:val="both"/>
        <w:rPr>
          <w:rFonts w:cstheme="minorHAnsi"/>
        </w:rPr>
      </w:pPr>
      <w:r>
        <w:rPr>
          <w:rFonts w:cstheme="minorHAnsi"/>
        </w:rPr>
        <w:t>Srednja škola Duga Resa djeluje kao javna ustanova srednjeg odgoja i obrazovanja.</w:t>
      </w:r>
      <w:r>
        <w:rPr>
          <w:rFonts w:cstheme="minorHAnsi"/>
        </w:rPr>
        <w:t xml:space="preserve"> Osnivač škole je Karlovačka županija, a sjedište škole je Jozefinska cesta 27, Duga Resa. U sklopu Srednje škole nalazi se i Učenički dom. Djelatnost škole je odgoj i obrazovanje mladeži i odraslih za stjecanje srednje stručne spreme, stjecanje znanja i s</w:t>
      </w:r>
      <w:r>
        <w:rPr>
          <w:rFonts w:cstheme="minorHAnsi"/>
        </w:rPr>
        <w:t>posobnosti za rad i nastavak školovanja, izvođenje programa obrazovanja odraslih te Domu učenika gdje organiziran smještaj i prehrana, odgojno-obrazovni rad, kulturne i druge aktivnosti učenika i studenata te skrb o psihofizičkom zdravlju učenika. Škola pr</w:t>
      </w:r>
      <w:r>
        <w:rPr>
          <w:rFonts w:cstheme="minorHAnsi"/>
        </w:rPr>
        <w:t>ovodi programe obrazovanja: opća gimnazija, sportska gimnazija, medijski tehničar, modni tehničar, grafički dizajner te puškar u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>trogodišnjem trajanju.</w:t>
      </w:r>
    </w:p>
    <w:p w:rsidR="003D4DA1" w:rsidRDefault="003D4DA1">
      <w:pPr>
        <w:spacing w:after="0" w:line="240" w:lineRule="auto"/>
        <w:jc w:val="both"/>
        <w:rPr>
          <w:rFonts w:cstheme="minorHAnsi"/>
        </w:rPr>
      </w:pPr>
    </w:p>
    <w:p w:rsidR="003D4DA1" w:rsidRDefault="000C790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ORGANIZACIJSKA STRUKTURA:</w:t>
      </w:r>
    </w:p>
    <w:p w:rsidR="003D4DA1" w:rsidRDefault="000C790A">
      <w:pPr>
        <w:spacing w:after="0"/>
        <w:jc w:val="both"/>
        <w:rPr>
          <w:rFonts w:cstheme="minorHAnsi"/>
        </w:rPr>
      </w:pPr>
      <w:r>
        <w:rPr>
          <w:rFonts w:cstheme="minorHAnsi"/>
        </w:rPr>
        <w:t>Srednja škola Duga Resa je jedna pravna osoba koja radi na dvije lokacije: Jo</w:t>
      </w:r>
      <w:r>
        <w:rPr>
          <w:rFonts w:cstheme="minorHAnsi"/>
        </w:rPr>
        <w:t>zefinska 27, Duga Resa je sjedište škole, a na lokaciji Banjavčićeva 2, Duga Resa je Učenički dom koji je pedagoški samostalna jedinica. Unutarnje ustrojstvo Škole utvrđeno je Statutom škole. Ustanova ima ukupno 65 djelatnika od čega Škola broji 47, a Učen</w:t>
      </w:r>
      <w:r>
        <w:rPr>
          <w:rFonts w:cstheme="minorHAnsi"/>
        </w:rPr>
        <w:t>ički dom 18 djelatnika. U školi su na sistematiziranim radnim mjestima zaposleni: 1 ravnateljica, 38 nastavnika i 8 administrativno-tehnička djelatnika, a u učeničkom domu 3 odgajatelja i 2 noćna pazitelja, 10 administrativno-tehnička djelatnika, 1 stručno</w:t>
      </w:r>
      <w:r>
        <w:rPr>
          <w:rFonts w:cstheme="minorHAnsi"/>
        </w:rPr>
        <w:t>g suradnika psihologa, 1 voditeljicu doma i 1 operativni djelatnik za sigurnost i civilnu zaštitu. Škola broji ukupno 258 učenika koji su raspoređeni u 15 razrednih odjeljenja, a učenički dom 47 učenika.</w:t>
      </w:r>
    </w:p>
    <w:p w:rsidR="003D4DA1" w:rsidRDefault="003D4DA1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:rsidR="003D4DA1" w:rsidRDefault="000C790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IZVRŠENJE FINANCIJSKOG PLANA ZA SIJEČANJ-LIPANJ 202</w:t>
      </w:r>
      <w:r>
        <w:rPr>
          <w:rFonts w:cstheme="minorHAnsi"/>
          <w:b/>
        </w:rPr>
        <w:t xml:space="preserve">6. </w:t>
      </w:r>
      <w:r>
        <w:rPr>
          <w:rFonts w:cstheme="minorHAnsi"/>
          <w:bCs/>
          <w:i/>
          <w:iCs/>
        </w:rPr>
        <w:t>(iznosi u EUR)</w:t>
      </w:r>
      <w:r>
        <w:rPr>
          <w:rFonts w:cstheme="minorHAnsi"/>
          <w:b/>
        </w:rPr>
        <w:t>:</w:t>
      </w:r>
    </w:p>
    <w:p w:rsidR="003D4DA1" w:rsidRDefault="003D4DA1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196" w:type="dxa"/>
        <w:tblLook w:val="04A0" w:firstRow="1" w:lastRow="0" w:firstColumn="1" w:lastColumn="0" w:noHBand="0" w:noVBand="1"/>
      </w:tblPr>
      <w:tblGrid>
        <w:gridCol w:w="1112"/>
        <w:gridCol w:w="1760"/>
        <w:gridCol w:w="1386"/>
        <w:gridCol w:w="1386"/>
        <w:gridCol w:w="1386"/>
        <w:gridCol w:w="1386"/>
        <w:gridCol w:w="890"/>
        <w:gridCol w:w="890"/>
      </w:tblGrid>
      <w:tr w:rsidR="003D4DA1">
        <w:trPr>
          <w:trHeight w:val="264"/>
        </w:trPr>
        <w:tc>
          <w:tcPr>
            <w:tcW w:w="1113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bookmarkStart w:id="0" w:name="_Hlk234919911"/>
            <w:r>
              <w:rPr>
                <w:rFonts w:cstheme="minorHAnsi"/>
                <w:b/>
              </w:rPr>
              <w:t>Šifra programa</w:t>
            </w:r>
          </w:p>
        </w:tc>
        <w:tc>
          <w:tcPr>
            <w:tcW w:w="1933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Naziv programa</w:t>
            </w:r>
          </w:p>
        </w:tc>
        <w:tc>
          <w:tcPr>
            <w:tcW w:w="1352" w:type="dxa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01.01.-30.06.2025.</w:t>
            </w:r>
          </w:p>
        </w:tc>
        <w:tc>
          <w:tcPr>
            <w:tcW w:w="1352" w:type="dxa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PLAN </w:t>
            </w:r>
          </w:p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2026.</w:t>
            </w:r>
          </w:p>
        </w:tc>
        <w:tc>
          <w:tcPr>
            <w:tcW w:w="1352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 REBALANS </w:t>
            </w:r>
          </w:p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2026.</w:t>
            </w:r>
          </w:p>
        </w:tc>
        <w:tc>
          <w:tcPr>
            <w:tcW w:w="1352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01.01.-30.06.2026.</w:t>
            </w:r>
          </w:p>
        </w:tc>
        <w:tc>
          <w:tcPr>
            <w:tcW w:w="871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INDEKS %</w:t>
            </w:r>
          </w:p>
        </w:tc>
        <w:tc>
          <w:tcPr>
            <w:tcW w:w="871" w:type="dxa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INDEKS %</w:t>
            </w:r>
          </w:p>
        </w:tc>
      </w:tr>
      <w:tr w:rsidR="003D4DA1">
        <w:trPr>
          <w:trHeight w:val="37"/>
        </w:trPr>
        <w:tc>
          <w:tcPr>
            <w:tcW w:w="1113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933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352" w:type="dxa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352" w:type="dxa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352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352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871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871" w:type="dxa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123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Zakonski standard SŠ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116.023,51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338.174,59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338.174,59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138.441,75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119,32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40,94</w:t>
            </w:r>
          </w:p>
        </w:tc>
      </w:tr>
      <w:tr w:rsidR="003D4DA1">
        <w:trPr>
          <w:trHeight w:val="127"/>
        </w:trPr>
        <w:tc>
          <w:tcPr>
            <w:tcW w:w="1113" w:type="dxa"/>
            <w:vAlign w:val="bottom"/>
          </w:tcPr>
          <w:p w:rsidR="003D4DA1" w:rsidRDefault="000C790A">
            <w:pP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 xml:space="preserve">A100037 </w:t>
            </w:r>
          </w:p>
        </w:tc>
        <w:tc>
          <w:tcPr>
            <w:tcW w:w="1933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Odgojnoobrazovno, administrativno i tehničko osoblje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14.772,85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29.700,00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29.700,00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23.993,10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162,41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80,78</w:t>
            </w:r>
          </w:p>
        </w:tc>
      </w:tr>
      <w:tr w:rsidR="003D4DA1">
        <w:trPr>
          <w:trHeight w:val="127"/>
        </w:trPr>
        <w:tc>
          <w:tcPr>
            <w:tcW w:w="1113" w:type="dxa"/>
            <w:vAlign w:val="bottom"/>
          </w:tcPr>
          <w:p w:rsidR="003D4DA1" w:rsidRDefault="000C790A">
            <w:pP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 xml:space="preserve">A100037A </w:t>
            </w:r>
          </w:p>
        </w:tc>
        <w:tc>
          <w:tcPr>
            <w:tcW w:w="1933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Odgojnoobrazovno, administrativno i tehničko osoblje - POSEBNI DIO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57.574,44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155.971,20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155.971,20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78.490,40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136,33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50,32</w:t>
            </w:r>
          </w:p>
        </w:tc>
      </w:tr>
      <w:tr w:rsidR="003D4DA1">
        <w:trPr>
          <w:trHeight w:val="127"/>
        </w:trPr>
        <w:tc>
          <w:tcPr>
            <w:tcW w:w="1113" w:type="dxa"/>
            <w:vAlign w:val="bottom"/>
          </w:tcPr>
          <w:p w:rsidR="003D4DA1" w:rsidRDefault="000C790A">
            <w:pP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 xml:space="preserve">A100038 </w:t>
            </w:r>
          </w:p>
        </w:tc>
        <w:tc>
          <w:tcPr>
            <w:tcW w:w="1933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hr-HR"/>
              </w:rPr>
              <w:t>Operativni plan TIO - SŠ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7.482,31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6.146,89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82,15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61,47</w:t>
            </w:r>
          </w:p>
        </w:tc>
      </w:tr>
      <w:tr w:rsidR="003D4DA1">
        <w:trPr>
          <w:trHeight w:val="136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125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</w:rPr>
            </w:pPr>
            <w:bookmarkStart w:id="1" w:name="_Hlk139892112"/>
            <w:r>
              <w:rPr>
                <w:rFonts w:cstheme="minorHAnsi"/>
              </w:rPr>
              <w:t>PJP iznad standarda – vlastiti prihodi</w:t>
            </w:r>
            <w:bookmarkEnd w:id="1"/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51.086,82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187.500,00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187.500,00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28.089,97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54,98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14,98</w:t>
            </w:r>
          </w:p>
        </w:tc>
      </w:tr>
      <w:tr w:rsidR="003D4DA1">
        <w:trPr>
          <w:trHeight w:val="136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A100042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Javne potrebe iznad standarda – vlastiti prihodi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51.086,82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187.500,00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187.500,00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28.089,97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54,98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14,98</w:t>
            </w: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141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Javne potrebe iznad zakonskog standarda SŠ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30.378,18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303.898,81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303.898,81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33.016,78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108,69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10,86</w:t>
            </w: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A100078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Županijske javne potrebe SŠ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12.150,83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174.323,81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174.323,81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1.146,39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9,43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0,66</w:t>
            </w: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A100159A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Javne potrebe iznad standarda - donacije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3.860,18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32,17</w:t>
            </w: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A100161A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bookmarkStart w:id="2" w:name="_Hlk234924391"/>
            <w:r>
              <w:rPr>
                <w:rFonts w:cstheme="minorHAnsi"/>
                <w:sz w:val="16"/>
                <w:szCs w:val="16"/>
              </w:rPr>
              <w:t>Javne potrebe iznad standarda - OSTALO</w:t>
            </w:r>
            <w:bookmarkEnd w:id="2"/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1.327,54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12.700,00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12.700,00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3.890,12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293,03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30,63</w:t>
            </w: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A100161B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bookmarkStart w:id="3" w:name="_Hlk234924619"/>
            <w:r>
              <w:rPr>
                <w:rFonts w:cstheme="minorHAnsi"/>
                <w:sz w:val="16"/>
                <w:szCs w:val="16"/>
              </w:rPr>
              <w:t>Djelanost Učeničkog doma - prehrana i smještaj</w:t>
            </w:r>
            <w:bookmarkEnd w:id="3"/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15.531,24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59.000,00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59.000,00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19.195,56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123,59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32,53</w:t>
            </w: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A100162A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Prijenos sredstava od nenadležnih proračuna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1.368,57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26.875,00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26.875,00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4.924,53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359,83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18,32</w:t>
            </w: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A100171A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Javne potrebe iznad standarda - projekti EU-a - korisnici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19.000,00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19.000,00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157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Javne potrebe iznad zakonskog standarda u školstvu-ostali korisnici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  <w:p w:rsidR="003D4DA1" w:rsidRDefault="003D4DA1">
            <w:pPr>
              <w:rPr>
                <w:rFonts w:cstheme="minorHAnsi"/>
                <w:color w:val="000000"/>
              </w:rPr>
            </w:pP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A100208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KARADAR</w:t>
            </w:r>
          </w:p>
        </w:tc>
        <w:tc>
          <w:tcPr>
            <w:tcW w:w="1352" w:type="dxa"/>
            <w:vAlign w:val="bottom"/>
          </w:tcPr>
          <w:p w:rsidR="003D4DA1" w:rsidRDefault="003D4DA1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1" w:type="dxa"/>
            <w:vAlign w:val="bottom"/>
          </w:tcPr>
          <w:p w:rsidR="003D4DA1" w:rsidRDefault="003D4DA1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vAlign w:val="bottom"/>
          </w:tcPr>
          <w:p w:rsidR="003D4DA1" w:rsidRDefault="003D4DA1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201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MZOM- Plaće SŠ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871.776,76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1.467.000,00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1.467.000,00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847.352,69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97,2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57,76</w:t>
            </w:r>
          </w:p>
        </w:tc>
      </w:tr>
      <w:tr w:rsidR="003D4DA1">
        <w:trPr>
          <w:trHeight w:val="127"/>
        </w:trPr>
        <w:tc>
          <w:tcPr>
            <w:tcW w:w="111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A200201</w:t>
            </w:r>
          </w:p>
        </w:tc>
        <w:tc>
          <w:tcPr>
            <w:tcW w:w="1933" w:type="dxa"/>
          </w:tcPr>
          <w:p w:rsidR="003D4DA1" w:rsidRDefault="000C790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MZOM - Plaće SŠ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871.776,76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1.467.000,00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1.467.000,00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847.352,69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57,76</w:t>
            </w:r>
          </w:p>
        </w:tc>
      </w:tr>
      <w:tr w:rsidR="003D4DA1">
        <w:trPr>
          <w:trHeight w:val="136"/>
        </w:trPr>
        <w:tc>
          <w:tcPr>
            <w:tcW w:w="3046" w:type="dxa"/>
            <w:gridSpan w:val="2"/>
          </w:tcPr>
          <w:p w:rsidR="003D4DA1" w:rsidRDefault="000C790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Ukupno Glava: 12-39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1.069.265,27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2.302.573,40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2.302.573,40</w:t>
            </w:r>
          </w:p>
        </w:tc>
        <w:tc>
          <w:tcPr>
            <w:tcW w:w="1352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1.046.901,19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97,91</w:t>
            </w:r>
          </w:p>
        </w:tc>
        <w:tc>
          <w:tcPr>
            <w:tcW w:w="87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45,47</w:t>
            </w:r>
          </w:p>
        </w:tc>
      </w:tr>
      <w:bookmarkEnd w:id="0"/>
    </w:tbl>
    <w:p w:rsidR="003D4DA1" w:rsidRDefault="003D4DA1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:rsidR="003D4DA1" w:rsidRDefault="003D4DA1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:rsidR="003D4DA1" w:rsidRDefault="000C790A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  <w:u w:val="single"/>
        </w:rPr>
      </w:pPr>
      <w:r>
        <w:rPr>
          <w:rFonts w:cstheme="minorHAnsi"/>
          <w:b/>
          <w:i/>
          <w:iCs/>
          <w:u w:val="single"/>
        </w:rPr>
        <w:t>ŠIFRA I NAZIV PROGRAMA:  123 Zakonski standard SŠ</w:t>
      </w:r>
    </w:p>
    <w:p w:rsidR="003D4DA1" w:rsidRDefault="003D4DA1">
      <w:pPr>
        <w:spacing w:after="0" w:line="240" w:lineRule="auto"/>
        <w:rPr>
          <w:rFonts w:cstheme="minorHAnsi"/>
          <w:b/>
          <w:highlight w:val="yellow"/>
        </w:rPr>
      </w:pPr>
    </w:p>
    <w:p w:rsidR="003D4DA1" w:rsidRDefault="000C790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SVRHA PROGRAMA: </w:t>
      </w:r>
    </w:p>
    <w:p w:rsidR="003D4DA1" w:rsidRDefault="000C790A">
      <w:pPr>
        <w:spacing w:after="0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Odgoj i obrazovanje mladeži i odraslih za stjecanje srednje školske spreme, srednje stručne spreme, stjecanje znanja i sposobnosti za rad i nastavak školovanja. Unapređenje odgojno-obrazovnog procesa u smislu što uspješnijeg i kvalitetnijeg provođenja prog</w:t>
      </w:r>
      <w:r>
        <w:rPr>
          <w:rFonts w:eastAsia="Times New Roman" w:cstheme="minorHAnsi"/>
          <w:lang w:eastAsia="hr-HR"/>
        </w:rPr>
        <w:t xml:space="preserve">rama. Održavanje minimalnog pedagoškog standarda i njegovo kontinuirano poboljšanje provođenjem stalnog usavršavanja nastavnika (seminari, stručni skupovi, aktivi), poticanjem učenika na izražavanje kreativnosti, talenata i sposobnosti kroz uključivanje u </w:t>
      </w:r>
      <w:r>
        <w:rPr>
          <w:rFonts w:eastAsia="Times New Roman" w:cstheme="minorHAnsi"/>
          <w:lang w:eastAsia="hr-HR"/>
        </w:rPr>
        <w:t>slobodne aktivnosti, natjecanja te druge školske projekte, manifestacije i priredbe. Dodatni cilj programa je odgajati i obrazovati učenike u skladu s općim, kulturnim i civilizacijskim vrijednostima te osigurati učenicima stjecanje temeljnih i stručnih ko</w:t>
      </w:r>
      <w:r>
        <w:rPr>
          <w:rFonts w:eastAsia="Times New Roman" w:cstheme="minorHAnsi"/>
          <w:lang w:eastAsia="hr-HR"/>
        </w:rPr>
        <w:t>mpetencija, osposobiti ih za život i rad i osposobiti učenike za cjeloživotno učenje.</w:t>
      </w:r>
    </w:p>
    <w:p w:rsidR="003D4DA1" w:rsidRDefault="003D4DA1">
      <w:pPr>
        <w:spacing w:after="0"/>
        <w:jc w:val="both"/>
        <w:rPr>
          <w:rFonts w:cstheme="minorHAnsi"/>
          <w:b/>
        </w:rPr>
      </w:pPr>
    </w:p>
    <w:p w:rsidR="003D4DA1" w:rsidRDefault="000C790A">
      <w:pPr>
        <w:spacing w:after="0"/>
        <w:jc w:val="both"/>
        <w:rPr>
          <w:rFonts w:cstheme="minorHAnsi"/>
          <w:bCs/>
          <w:i/>
          <w:iCs/>
        </w:rPr>
      </w:pPr>
      <w:r>
        <w:rPr>
          <w:rFonts w:cstheme="minorHAnsi"/>
          <w:b/>
        </w:rPr>
        <w:t xml:space="preserve">POVEZANOST PROGRAMA SA STRATEŠKIM DOKUMENTIMA: </w:t>
      </w:r>
    </w:p>
    <w:p w:rsidR="003D4DA1" w:rsidRDefault="000C790A">
      <w:pPr>
        <w:spacing w:after="0"/>
        <w:jc w:val="both"/>
        <w:rPr>
          <w:rFonts w:cstheme="minorHAnsi"/>
          <w:b/>
        </w:rPr>
      </w:pPr>
      <w:r>
        <w:rPr>
          <w:rFonts w:cstheme="minorHAnsi"/>
        </w:rPr>
        <w:t>Prioritet škole je unaprijediti kvalitetu nastave te znanja, vještine i kompetencije učenika. Razvoj i uporaba kombiniran</w:t>
      </w:r>
      <w:r>
        <w:rPr>
          <w:rFonts w:cstheme="minorHAnsi"/>
        </w:rPr>
        <w:t>ih metoda i oblika poučavanja koji potiču učenike na aktivno uključivanje u nastavni proces i timski rad, unapređenje postojeće i poticanje kvalitetne komunikacije na svim razinama, poboljšanje i unapređenje prostornih uvjeta i opremljenosti škole, oblikov</w:t>
      </w:r>
      <w:r>
        <w:rPr>
          <w:rFonts w:cstheme="minorHAnsi"/>
        </w:rPr>
        <w:t>anje poticajnog okruženja za cijelo-životno učenje, promicanje zdravstvenog i građanskog odgoja, dinamična suradnja sa srodnim školama sličnog programa razvoja koja uključuje razmjenu ljudskih resursa (nastavnika i učenika), rad s darovitom djecom, potican</w:t>
      </w:r>
      <w:r>
        <w:rPr>
          <w:rFonts w:cstheme="minorHAnsi"/>
        </w:rPr>
        <w:t>je povezivanja s visokoškolskim ustanovama u bližem okruženju, stvaranju suvremeno pro-orijentiranog odgojno-obrazovnog subjekta konkurentnog srodnim subjektima europske regije.</w:t>
      </w:r>
    </w:p>
    <w:p w:rsidR="003D4DA1" w:rsidRDefault="003D4DA1">
      <w:pPr>
        <w:spacing w:after="0"/>
        <w:jc w:val="both"/>
        <w:rPr>
          <w:rFonts w:cstheme="minorHAnsi"/>
          <w:b/>
          <w:color w:val="FF0000"/>
        </w:rPr>
      </w:pPr>
    </w:p>
    <w:p w:rsidR="003D4DA1" w:rsidRDefault="000C790A">
      <w:pPr>
        <w:spacing w:after="0"/>
        <w:jc w:val="both"/>
        <w:rPr>
          <w:rFonts w:cstheme="minorHAnsi"/>
          <w:i/>
        </w:rPr>
      </w:pPr>
      <w:r>
        <w:rPr>
          <w:rFonts w:cstheme="minorHAnsi"/>
          <w:b/>
        </w:rPr>
        <w:t xml:space="preserve">ZAKONSKE I DRUGE PODLOGE NA KOJIMA SE PROGRAM ZASNIVA: </w:t>
      </w:r>
    </w:p>
    <w:p w:rsidR="003D4DA1" w:rsidRDefault="000C790A">
      <w:pPr>
        <w:spacing w:after="0"/>
        <w:jc w:val="both"/>
        <w:rPr>
          <w:rFonts w:cstheme="minorHAnsi"/>
          <w:b/>
          <w:highlight w:val="yellow"/>
        </w:rPr>
      </w:pPr>
      <w:r>
        <w:rPr>
          <w:rFonts w:cstheme="minorHAnsi"/>
        </w:rPr>
        <w:t xml:space="preserve">Zakon o proračunu RH </w:t>
      </w:r>
      <w:r>
        <w:rPr>
          <w:rFonts w:cstheme="minorHAnsi"/>
        </w:rPr>
        <w:t>(NN br. 144/21), Zakon o odgoju i obrazovanju u osnovnoj i srednjoj školi (NN 87/08., 86/09., 92/10., 105/10., 90/11.,5/12., 16/12., 86/12.,126/12., 94/13., 152/14, 7/17, 68/18., 98/19., 64/20), Odluka o kriterijima i mjerilima za utvrđivanje bilančnih pra</w:t>
      </w:r>
      <w:r>
        <w:rPr>
          <w:rFonts w:cstheme="minorHAnsi"/>
        </w:rPr>
        <w:t xml:space="preserve">va za financiranje minimalnog financijskog standarda javnih potreba srednjih škola i učeničkih domova, Upute proračunskim korisnicima za izradu Proračuna Karlovačke županije za razdoblje 2026-2027., Godišnji plan i program rada i Statut Srednje škole Duga </w:t>
      </w:r>
      <w:r>
        <w:rPr>
          <w:rFonts w:cstheme="minorHAnsi"/>
        </w:rPr>
        <w:t>Resa.</w:t>
      </w:r>
    </w:p>
    <w:p w:rsidR="003D4DA1" w:rsidRDefault="003D4DA1">
      <w:pPr>
        <w:spacing w:after="0"/>
        <w:jc w:val="both"/>
        <w:rPr>
          <w:rFonts w:cstheme="minorHAnsi"/>
          <w:highlight w:val="yellow"/>
        </w:rPr>
      </w:pPr>
    </w:p>
    <w:p w:rsidR="003D4DA1" w:rsidRDefault="000C790A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IZVRŠENJE </w:t>
      </w:r>
      <w:r>
        <w:rPr>
          <w:rFonts w:cstheme="minorHAnsi"/>
          <w:b/>
          <w:bCs/>
          <w:u w:val="single"/>
        </w:rPr>
        <w:t>PROGRAMA</w:t>
      </w:r>
      <w:r>
        <w:rPr>
          <w:rFonts w:cstheme="minorHAnsi"/>
          <w:b/>
          <w:bCs/>
        </w:rPr>
        <w:t xml:space="preserve"> S OSVRTOM NA CILJEVE KOJI SU OSTVARENI NJEGOVOM PROVEDBOM </w:t>
      </w:r>
    </w:p>
    <w:p w:rsidR="003D4DA1" w:rsidRDefault="000C790A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Sredstva se troše u skladu s planom te se djelatnost škole održava redovno u skladu sa Zakonom i Pedagoškim standardom. U školskoj godini 2024./2025. je bilo 13 razrednih </w:t>
      </w:r>
      <w:r>
        <w:rPr>
          <w:rFonts w:cstheme="minorHAnsi"/>
          <w:i/>
        </w:rPr>
        <w:t xml:space="preserve">odjela sa ukupno upisanih 213 učenika, a u </w:t>
      </w:r>
      <w:r>
        <w:rPr>
          <w:rFonts w:cstheme="minorHAnsi"/>
          <w:i/>
        </w:rPr>
        <w:lastRenderedPageBreak/>
        <w:t>2025./2026. je bilo 237 učenika koji su raspoređeni u 15 razrednih odjeljenja. Nastava se, redovna, izborna, dopunska i dodatna, izvodi prema nastavnim planovima i programima, koje je donijelo Ministarstvo znanost</w:t>
      </w:r>
      <w:r>
        <w:rPr>
          <w:rFonts w:cstheme="minorHAnsi"/>
          <w:i/>
        </w:rPr>
        <w:t>i, obrazovanja i športa, operativnom Godišnjem izvedbenom odgojno-obrazovnom planu i Školskim kurikulomom.</w:t>
      </w:r>
    </w:p>
    <w:p w:rsidR="003D4DA1" w:rsidRDefault="003D4DA1">
      <w:pPr>
        <w:spacing w:after="0" w:line="240" w:lineRule="auto"/>
        <w:rPr>
          <w:rFonts w:cstheme="minorHAnsi"/>
          <w:i/>
        </w:rPr>
      </w:pPr>
    </w:p>
    <w:p w:rsidR="003D4DA1" w:rsidRDefault="000C790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 ZA SIJEČANJ-LIPANJ 2026.</w:t>
      </w:r>
    </w:p>
    <w:p w:rsidR="003D4DA1" w:rsidRDefault="003D4DA1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005" w:type="dxa"/>
        <w:tblLook w:val="04A0" w:firstRow="1" w:lastRow="0" w:firstColumn="1" w:lastColumn="0" w:noHBand="0" w:noVBand="1"/>
      </w:tblPr>
      <w:tblGrid>
        <w:gridCol w:w="1080"/>
        <w:gridCol w:w="2015"/>
        <w:gridCol w:w="1305"/>
        <w:gridCol w:w="1244"/>
        <w:gridCol w:w="1244"/>
        <w:gridCol w:w="1305"/>
        <w:gridCol w:w="906"/>
        <w:gridCol w:w="906"/>
      </w:tblGrid>
      <w:tr w:rsidR="003D4DA1">
        <w:trPr>
          <w:trHeight w:val="1040"/>
        </w:trPr>
        <w:tc>
          <w:tcPr>
            <w:tcW w:w="1080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015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305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IZVRŠENJE 01.01.-30.06.2025.</w:t>
            </w:r>
          </w:p>
        </w:tc>
        <w:tc>
          <w:tcPr>
            <w:tcW w:w="1244" w:type="dxa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PLAN </w:t>
            </w:r>
          </w:p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      2026.</w:t>
            </w:r>
          </w:p>
        </w:tc>
        <w:tc>
          <w:tcPr>
            <w:tcW w:w="1244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 REBALANS </w:t>
            </w:r>
          </w:p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2026.</w:t>
            </w:r>
          </w:p>
        </w:tc>
        <w:tc>
          <w:tcPr>
            <w:tcW w:w="1305" w:type="dxa"/>
            <w:vAlign w:val="center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IZVRŠENJE 01.01.-30.06.2026.</w:t>
            </w:r>
          </w:p>
        </w:tc>
        <w:tc>
          <w:tcPr>
            <w:tcW w:w="906" w:type="dxa"/>
            <w:vAlign w:val="center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INDEKS %</w:t>
            </w:r>
          </w:p>
        </w:tc>
        <w:tc>
          <w:tcPr>
            <w:tcW w:w="906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INDEKS %</w:t>
            </w:r>
          </w:p>
        </w:tc>
      </w:tr>
      <w:tr w:rsidR="003D4DA1">
        <w:trPr>
          <w:trHeight w:val="269"/>
        </w:trPr>
        <w:tc>
          <w:tcPr>
            <w:tcW w:w="1080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015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305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44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44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305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06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06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3D4DA1">
        <w:trPr>
          <w:trHeight w:val="519"/>
        </w:trPr>
        <w:tc>
          <w:tcPr>
            <w:tcW w:w="1080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2015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Odgojnoobrazovno – opći dio</w:t>
            </w:r>
          </w:p>
        </w:tc>
        <w:tc>
          <w:tcPr>
            <w:tcW w:w="1305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14.772,85</w:t>
            </w:r>
          </w:p>
        </w:tc>
        <w:tc>
          <w:tcPr>
            <w:tcW w:w="124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29.700,00</w:t>
            </w:r>
          </w:p>
        </w:tc>
        <w:tc>
          <w:tcPr>
            <w:tcW w:w="124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29.700,00</w:t>
            </w:r>
          </w:p>
        </w:tc>
        <w:tc>
          <w:tcPr>
            <w:tcW w:w="1305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23.993,10</w:t>
            </w:r>
          </w:p>
        </w:tc>
        <w:tc>
          <w:tcPr>
            <w:tcW w:w="906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162,41</w:t>
            </w:r>
          </w:p>
        </w:tc>
        <w:tc>
          <w:tcPr>
            <w:tcW w:w="906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80,78</w:t>
            </w:r>
          </w:p>
        </w:tc>
      </w:tr>
      <w:tr w:rsidR="003D4DA1">
        <w:trPr>
          <w:trHeight w:val="519"/>
        </w:trPr>
        <w:tc>
          <w:tcPr>
            <w:tcW w:w="1080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2015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Odgojnoobrazovno – posebni dio</w:t>
            </w:r>
          </w:p>
        </w:tc>
        <w:tc>
          <w:tcPr>
            <w:tcW w:w="1305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57.574,44</w:t>
            </w:r>
          </w:p>
        </w:tc>
        <w:tc>
          <w:tcPr>
            <w:tcW w:w="124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155.971,20</w:t>
            </w:r>
          </w:p>
        </w:tc>
        <w:tc>
          <w:tcPr>
            <w:tcW w:w="124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155.971,20</w:t>
            </w:r>
          </w:p>
        </w:tc>
        <w:tc>
          <w:tcPr>
            <w:tcW w:w="1305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78.490,40</w:t>
            </w:r>
          </w:p>
        </w:tc>
        <w:tc>
          <w:tcPr>
            <w:tcW w:w="906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136,33</w:t>
            </w:r>
          </w:p>
        </w:tc>
        <w:tc>
          <w:tcPr>
            <w:tcW w:w="906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50,32</w:t>
            </w:r>
          </w:p>
        </w:tc>
      </w:tr>
      <w:tr w:rsidR="003D4DA1">
        <w:trPr>
          <w:trHeight w:val="260"/>
        </w:trPr>
        <w:tc>
          <w:tcPr>
            <w:tcW w:w="1080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2015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Operativni plan</w:t>
            </w:r>
          </w:p>
        </w:tc>
        <w:tc>
          <w:tcPr>
            <w:tcW w:w="1305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7.482,31</w:t>
            </w:r>
          </w:p>
        </w:tc>
        <w:tc>
          <w:tcPr>
            <w:tcW w:w="124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10.000,00</w:t>
            </w:r>
          </w:p>
        </w:tc>
        <w:tc>
          <w:tcPr>
            <w:tcW w:w="124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10.000,00</w:t>
            </w:r>
          </w:p>
        </w:tc>
        <w:tc>
          <w:tcPr>
            <w:tcW w:w="1305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6.146,89</w:t>
            </w:r>
          </w:p>
        </w:tc>
        <w:tc>
          <w:tcPr>
            <w:tcW w:w="906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82,15</w:t>
            </w:r>
          </w:p>
        </w:tc>
        <w:tc>
          <w:tcPr>
            <w:tcW w:w="906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61,47</w:t>
            </w:r>
          </w:p>
        </w:tc>
      </w:tr>
      <w:tr w:rsidR="003D4DA1">
        <w:trPr>
          <w:trHeight w:val="788"/>
        </w:trPr>
        <w:tc>
          <w:tcPr>
            <w:tcW w:w="3095" w:type="dxa"/>
            <w:gridSpan w:val="2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305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116.023,51</w:t>
            </w:r>
          </w:p>
        </w:tc>
        <w:tc>
          <w:tcPr>
            <w:tcW w:w="124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338.174,59</w:t>
            </w:r>
          </w:p>
        </w:tc>
        <w:tc>
          <w:tcPr>
            <w:tcW w:w="124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338.174,59</w:t>
            </w:r>
          </w:p>
        </w:tc>
        <w:tc>
          <w:tcPr>
            <w:tcW w:w="1305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138.441,75</w:t>
            </w:r>
          </w:p>
        </w:tc>
        <w:tc>
          <w:tcPr>
            <w:tcW w:w="906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119,32</w:t>
            </w:r>
          </w:p>
        </w:tc>
        <w:tc>
          <w:tcPr>
            <w:tcW w:w="906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40,94</w:t>
            </w:r>
          </w:p>
        </w:tc>
      </w:tr>
    </w:tbl>
    <w:p w:rsidR="003D4DA1" w:rsidRDefault="003D4DA1">
      <w:pPr>
        <w:spacing w:after="0" w:line="240" w:lineRule="auto"/>
        <w:rPr>
          <w:rFonts w:cstheme="minorHAnsi"/>
          <w:b/>
          <w:bCs/>
        </w:rPr>
      </w:pPr>
    </w:p>
    <w:p w:rsidR="003D4DA1" w:rsidRDefault="003D4DA1">
      <w:pPr>
        <w:spacing w:after="0" w:line="240" w:lineRule="auto"/>
        <w:rPr>
          <w:rFonts w:cstheme="minorHAnsi"/>
          <w:b/>
          <w:bCs/>
        </w:rPr>
      </w:pPr>
    </w:p>
    <w:p w:rsidR="003D4DA1" w:rsidRDefault="000C790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POKAZATELJI USPJEŠNOSTI </w:t>
      </w:r>
      <w:r>
        <w:rPr>
          <w:rFonts w:cstheme="minorHAnsi"/>
          <w:b/>
          <w:u w:val="single"/>
        </w:rPr>
        <w:t>PROGRAMA</w:t>
      </w:r>
      <w:r>
        <w:rPr>
          <w:rFonts w:cstheme="minorHAnsi"/>
          <w:b/>
        </w:rPr>
        <w:t xml:space="preserve">: </w:t>
      </w:r>
    </w:p>
    <w:p w:rsidR="003D4DA1" w:rsidRDefault="003D4DA1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3D4DA1">
        <w:trPr>
          <w:trHeight w:val="366"/>
        </w:trPr>
        <w:tc>
          <w:tcPr>
            <w:tcW w:w="1448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Ciljana vrijednost 2026.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01.01.-30.06.2026.</w:t>
            </w:r>
          </w:p>
        </w:tc>
      </w:tr>
      <w:tr w:rsidR="003D4DA1">
        <w:trPr>
          <w:trHeight w:val="119"/>
        </w:trPr>
        <w:tc>
          <w:tcPr>
            <w:tcW w:w="1448" w:type="dxa"/>
          </w:tcPr>
          <w:p w:rsidR="003D4DA1" w:rsidRDefault="000C790A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Sudjelovanje zaposlenika na stručnim seminarima</w:t>
            </w:r>
          </w:p>
        </w:tc>
        <w:tc>
          <w:tcPr>
            <w:tcW w:w="2877" w:type="dxa"/>
          </w:tcPr>
          <w:p w:rsidR="003D4DA1" w:rsidRDefault="000C790A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Sudjelovanjem zaposlenika na stručnim seminarima postiže se podizanje kvalitete usluge koju škola pruža</w:t>
            </w:r>
          </w:p>
        </w:tc>
        <w:tc>
          <w:tcPr>
            <w:tcW w:w="1276" w:type="dxa"/>
          </w:tcPr>
          <w:p w:rsidR="003D4DA1" w:rsidRDefault="000C79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Br. seminara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3D4DA1">
        <w:trPr>
          <w:trHeight w:val="119"/>
        </w:trPr>
        <w:tc>
          <w:tcPr>
            <w:tcW w:w="1448" w:type="dxa"/>
          </w:tcPr>
          <w:p w:rsidR="003D4DA1" w:rsidRDefault="000C790A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Uvođenje dopunske nastave za učenike s poteškoćama u učenju</w:t>
            </w:r>
          </w:p>
        </w:tc>
        <w:tc>
          <w:tcPr>
            <w:tcW w:w="2877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Uvođenjem dopunske nastave za učenike s poteškoćama u učenju</w:t>
            </w:r>
          </w:p>
          <w:p w:rsidR="003D4DA1" w:rsidRDefault="000C790A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pridonosi se poboljšanju kvalitete učenja</w:t>
            </w:r>
          </w:p>
        </w:tc>
        <w:tc>
          <w:tcPr>
            <w:tcW w:w="1276" w:type="dxa"/>
          </w:tcPr>
          <w:p w:rsidR="003D4DA1" w:rsidRDefault="000C79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Sati dopunske nastave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</w:tbl>
    <w:p w:rsidR="003D4DA1" w:rsidRDefault="003D4DA1">
      <w:pPr>
        <w:spacing w:after="0" w:line="240" w:lineRule="auto"/>
        <w:rPr>
          <w:rFonts w:cstheme="minorHAnsi"/>
        </w:rPr>
      </w:pPr>
    </w:p>
    <w:p w:rsidR="003D4DA1" w:rsidRDefault="003D4DA1">
      <w:pPr>
        <w:spacing w:after="0" w:line="240" w:lineRule="auto"/>
        <w:jc w:val="center"/>
        <w:rPr>
          <w:rFonts w:cstheme="minorHAnsi"/>
        </w:rPr>
      </w:pPr>
    </w:p>
    <w:p w:rsidR="003D4DA1" w:rsidRDefault="003D4DA1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:rsidR="003D4DA1" w:rsidRDefault="000C790A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  <w:u w:val="single"/>
        </w:rPr>
      </w:pPr>
      <w:r>
        <w:rPr>
          <w:rFonts w:cstheme="minorHAnsi"/>
          <w:b/>
          <w:i/>
          <w:iCs/>
          <w:u w:val="single"/>
        </w:rPr>
        <w:t>ŠIFRA I NAZIV PROGRAMA: 125 Program javnih potreba iznad standarda – vlastiti prihodi</w:t>
      </w:r>
    </w:p>
    <w:p w:rsidR="003D4DA1" w:rsidRDefault="003D4DA1">
      <w:pPr>
        <w:spacing w:after="0" w:line="240" w:lineRule="auto"/>
        <w:rPr>
          <w:rFonts w:cstheme="minorHAnsi"/>
          <w:bCs/>
          <w:highlight w:val="yellow"/>
        </w:rPr>
      </w:pPr>
    </w:p>
    <w:p w:rsidR="003D4DA1" w:rsidRDefault="000C790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SVRHA PROGRAMA: </w:t>
      </w:r>
    </w:p>
    <w:p w:rsidR="003D4DA1" w:rsidRDefault="000C790A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>Vlastiti prihodi su prihodi od pruženih usluga koje škola pruža radi ostvarenja dodatnih prihoda kako bi mogla zadovoljiti osnovne i dodatne potrebe uče</w:t>
      </w:r>
      <w:r>
        <w:rPr>
          <w:rFonts w:cstheme="minorHAnsi"/>
          <w:i/>
        </w:rPr>
        <w:t>nika i djelatnika škole, te financiranje nabave opreme, ali i tekuće i investicijsko održavanje škole. Sastoje se, najvećim dijelom, od prihoda ostvarenih od zakupa prostora škole, iznajmljivanja opreme škole i ostalih usluga.</w:t>
      </w:r>
    </w:p>
    <w:p w:rsidR="003D4DA1" w:rsidRDefault="003D4DA1">
      <w:pPr>
        <w:spacing w:after="0"/>
        <w:jc w:val="both"/>
        <w:rPr>
          <w:rFonts w:cstheme="minorHAnsi"/>
          <w:b/>
          <w:highlight w:val="yellow"/>
        </w:rPr>
      </w:pPr>
    </w:p>
    <w:p w:rsidR="003D4DA1" w:rsidRDefault="000C790A">
      <w:pPr>
        <w:spacing w:after="0"/>
        <w:jc w:val="both"/>
        <w:rPr>
          <w:rFonts w:cstheme="minorHAnsi"/>
          <w:bCs/>
          <w:i/>
          <w:iCs/>
        </w:rPr>
      </w:pPr>
      <w:r>
        <w:rPr>
          <w:rFonts w:cstheme="minorHAnsi"/>
          <w:b/>
        </w:rPr>
        <w:t>POVEZANOST PROGRAMA SA STRAT</w:t>
      </w:r>
      <w:r>
        <w:rPr>
          <w:rFonts w:cstheme="minorHAnsi"/>
          <w:b/>
        </w:rPr>
        <w:t xml:space="preserve">EŠKIM DOKUMENTIMA: </w:t>
      </w:r>
    </w:p>
    <w:p w:rsidR="003D4DA1" w:rsidRDefault="000C790A">
      <w:pPr>
        <w:spacing w:after="0"/>
        <w:jc w:val="both"/>
        <w:rPr>
          <w:rFonts w:cstheme="minorHAnsi"/>
        </w:rPr>
      </w:pPr>
      <w:r>
        <w:rPr>
          <w:rFonts w:cstheme="minorHAnsi"/>
        </w:rPr>
        <w:t>Prioritet škole je unaprijediti kvalitetu nastave te znanja, vještine i kompetencije učenika, ali i omogućiti zadovoljavanje potreba nastavnika i ostalih djelatnika kako bi privukli visoko motivirane i kvalitetne učenike i zaposlenike.</w:t>
      </w:r>
    </w:p>
    <w:p w:rsidR="003D4DA1" w:rsidRDefault="003D4DA1">
      <w:pPr>
        <w:spacing w:after="0"/>
        <w:jc w:val="both"/>
        <w:rPr>
          <w:rFonts w:cstheme="minorHAnsi"/>
          <w:highlight w:val="yellow"/>
        </w:rPr>
      </w:pPr>
    </w:p>
    <w:p w:rsidR="003D4DA1" w:rsidRDefault="003D4DA1">
      <w:pPr>
        <w:spacing w:after="0"/>
        <w:jc w:val="both"/>
        <w:rPr>
          <w:rFonts w:cstheme="minorHAnsi"/>
          <w:b/>
        </w:rPr>
      </w:pPr>
    </w:p>
    <w:p w:rsidR="003D4DA1" w:rsidRDefault="000C790A">
      <w:pPr>
        <w:spacing w:after="0"/>
        <w:jc w:val="both"/>
        <w:rPr>
          <w:rFonts w:cstheme="minorHAnsi"/>
          <w:i/>
        </w:rPr>
      </w:pPr>
      <w:r>
        <w:rPr>
          <w:rFonts w:cstheme="minorHAnsi"/>
          <w:b/>
        </w:rPr>
        <w:lastRenderedPageBreak/>
        <w:t xml:space="preserve">ZAKONSKE I DRUGE PODLOGE NA KOJIMA SE PROGRAM ZASNIVA: </w:t>
      </w:r>
    </w:p>
    <w:p w:rsidR="003D4DA1" w:rsidRDefault="000C790A">
      <w:pPr>
        <w:spacing w:after="0"/>
        <w:jc w:val="both"/>
        <w:rPr>
          <w:rFonts w:cstheme="minorHAnsi"/>
          <w:b/>
          <w:highlight w:val="yellow"/>
        </w:rPr>
      </w:pPr>
      <w:r>
        <w:rPr>
          <w:rFonts w:cstheme="minorHAnsi"/>
        </w:rPr>
        <w:t>Zakon o proračunu RH (NN br. 144/21), Zakon o odgoju i obrazovanju u osnovnoj i srednjoj školi (NN 87/08., 86/09., 92/10., 105/10., 90/11.,5/12., 16/12., 86/12.,126/12., 94/13., 152/14, 7/17, 68/18.</w:t>
      </w:r>
      <w:r>
        <w:rPr>
          <w:rFonts w:cstheme="minorHAnsi"/>
        </w:rPr>
        <w:t>, 98/19., 64/20, 151/22, 155/23, 156/23), Odluka o kriterijima i mjerilima za utvrđivanje bilančnih prava za financiranje minimalnog financijskog standarda javnih potreba srednjih škola i učeničkih domova, Upute proračunskim korisnicima za izradu Proračuna</w:t>
      </w:r>
      <w:r>
        <w:rPr>
          <w:rFonts w:cstheme="minorHAnsi"/>
        </w:rPr>
        <w:t xml:space="preserve"> Karlovačke županije za razdoblje 2026-2027., Godišnji plan i program rada i Statut Srednje škole Duga Resa.</w:t>
      </w:r>
    </w:p>
    <w:p w:rsidR="003D4DA1" w:rsidRDefault="003D4DA1">
      <w:pPr>
        <w:spacing w:after="0"/>
        <w:jc w:val="both"/>
        <w:rPr>
          <w:rFonts w:cstheme="minorHAnsi"/>
          <w:highlight w:val="yellow"/>
        </w:rPr>
      </w:pPr>
    </w:p>
    <w:p w:rsidR="003D4DA1" w:rsidRDefault="000C790A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IZVRŠENJE </w:t>
      </w:r>
      <w:r>
        <w:rPr>
          <w:rFonts w:cstheme="minorHAnsi"/>
          <w:b/>
          <w:bCs/>
          <w:u w:val="single"/>
        </w:rPr>
        <w:t>PROGRAMA</w:t>
      </w:r>
      <w:r>
        <w:rPr>
          <w:rFonts w:cstheme="minorHAnsi"/>
          <w:b/>
          <w:bCs/>
        </w:rPr>
        <w:t xml:space="preserve"> S OSVRTOM NA CILJEVE KOJI SU OSTVARENI NJEGOVOM PROVEDBOM </w:t>
      </w:r>
    </w:p>
    <w:p w:rsidR="003D4DA1" w:rsidRDefault="000C790A">
      <w:pPr>
        <w:spacing w:after="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Sredstva se troše u skladu s planom te se djelatnost škole održava r</w:t>
      </w:r>
      <w:r>
        <w:rPr>
          <w:rFonts w:cstheme="minorHAnsi"/>
          <w:i/>
          <w:iCs/>
        </w:rPr>
        <w:t>edovno u skladu sa Zakonom i Pedagoškim standardom.</w:t>
      </w:r>
    </w:p>
    <w:p w:rsidR="003D4DA1" w:rsidRDefault="000C790A">
      <w:pPr>
        <w:spacing w:after="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A100042 Javne potrebe iznad standarda-vlastiti prihodi</w:t>
      </w:r>
    </w:p>
    <w:p w:rsidR="003D4DA1" w:rsidRDefault="000C790A">
      <w:pPr>
        <w:spacing w:after="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Vlastiti prihodi utrošeni su za nabavu uredskog i nastavnog materijala, sirovine i energiju, usluge i ostale rashode poslovanja. </w:t>
      </w:r>
    </w:p>
    <w:p w:rsidR="003D4DA1" w:rsidRDefault="003D4DA1">
      <w:pPr>
        <w:spacing w:after="0" w:line="240" w:lineRule="auto"/>
        <w:jc w:val="both"/>
        <w:rPr>
          <w:rFonts w:cstheme="minorHAnsi"/>
          <w:b/>
          <w:bCs/>
        </w:rPr>
      </w:pPr>
    </w:p>
    <w:p w:rsidR="003D4DA1" w:rsidRDefault="000C790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</w:t>
      </w:r>
      <w:r>
        <w:rPr>
          <w:rFonts w:cstheme="minorHAnsi"/>
          <w:b/>
          <w:bCs/>
        </w:rPr>
        <w:t>SKOG PLANA ZA SIJEČANJ-LIPANJ 2026.</w:t>
      </w:r>
    </w:p>
    <w:p w:rsidR="003D4DA1" w:rsidRDefault="003D4DA1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145" w:type="dxa"/>
        <w:tblLook w:val="04A0" w:firstRow="1" w:lastRow="0" w:firstColumn="1" w:lastColumn="0" w:noHBand="0" w:noVBand="1"/>
      </w:tblPr>
      <w:tblGrid>
        <w:gridCol w:w="1094"/>
        <w:gridCol w:w="2045"/>
        <w:gridCol w:w="1324"/>
        <w:gridCol w:w="1261"/>
        <w:gridCol w:w="1261"/>
        <w:gridCol w:w="1324"/>
        <w:gridCol w:w="918"/>
        <w:gridCol w:w="918"/>
      </w:tblGrid>
      <w:tr w:rsidR="003D4DA1">
        <w:trPr>
          <w:trHeight w:val="577"/>
        </w:trPr>
        <w:tc>
          <w:tcPr>
            <w:tcW w:w="1094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045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324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IZVRŠENJE 01.01.-30.06.2025.</w:t>
            </w:r>
          </w:p>
        </w:tc>
        <w:tc>
          <w:tcPr>
            <w:tcW w:w="1261" w:type="dxa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PLAN </w:t>
            </w:r>
          </w:p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     2026.</w:t>
            </w:r>
          </w:p>
        </w:tc>
        <w:tc>
          <w:tcPr>
            <w:tcW w:w="1261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 REBALANS </w:t>
            </w:r>
          </w:p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2026.</w:t>
            </w:r>
          </w:p>
        </w:tc>
        <w:tc>
          <w:tcPr>
            <w:tcW w:w="1324" w:type="dxa"/>
            <w:vAlign w:val="center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IZVRŠENJE 01.01.-30.06.2026.</w:t>
            </w:r>
          </w:p>
        </w:tc>
        <w:tc>
          <w:tcPr>
            <w:tcW w:w="918" w:type="dxa"/>
            <w:vAlign w:val="center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INDEKS %</w:t>
            </w:r>
          </w:p>
        </w:tc>
        <w:tc>
          <w:tcPr>
            <w:tcW w:w="918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INDEKS %</w:t>
            </w:r>
          </w:p>
        </w:tc>
      </w:tr>
      <w:tr w:rsidR="003D4DA1">
        <w:trPr>
          <w:trHeight w:val="508"/>
        </w:trPr>
        <w:tc>
          <w:tcPr>
            <w:tcW w:w="1094" w:type="dxa"/>
          </w:tcPr>
          <w:p w:rsidR="003D4DA1" w:rsidRDefault="000C790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2045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Javne potrebe iznad standarda – vlastiti prihodi</w:t>
            </w:r>
          </w:p>
        </w:tc>
        <w:tc>
          <w:tcPr>
            <w:tcW w:w="132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51.086,82</w:t>
            </w:r>
          </w:p>
        </w:tc>
        <w:tc>
          <w:tcPr>
            <w:tcW w:w="126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187.500,00</w:t>
            </w:r>
          </w:p>
        </w:tc>
        <w:tc>
          <w:tcPr>
            <w:tcW w:w="126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187.500,00</w:t>
            </w:r>
          </w:p>
        </w:tc>
        <w:tc>
          <w:tcPr>
            <w:tcW w:w="132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28.089,97</w:t>
            </w:r>
          </w:p>
        </w:tc>
        <w:tc>
          <w:tcPr>
            <w:tcW w:w="91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54,98</w:t>
            </w:r>
          </w:p>
        </w:tc>
        <w:tc>
          <w:tcPr>
            <w:tcW w:w="91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14,98</w:t>
            </w:r>
          </w:p>
        </w:tc>
      </w:tr>
      <w:tr w:rsidR="003D4DA1">
        <w:trPr>
          <w:trHeight w:val="406"/>
        </w:trPr>
        <w:tc>
          <w:tcPr>
            <w:tcW w:w="3139" w:type="dxa"/>
            <w:gridSpan w:val="2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32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51.086,82</w:t>
            </w:r>
          </w:p>
        </w:tc>
        <w:tc>
          <w:tcPr>
            <w:tcW w:w="126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187.500,00</w:t>
            </w:r>
          </w:p>
        </w:tc>
        <w:tc>
          <w:tcPr>
            <w:tcW w:w="126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187.500,00</w:t>
            </w:r>
          </w:p>
        </w:tc>
        <w:tc>
          <w:tcPr>
            <w:tcW w:w="1324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28.089,97</w:t>
            </w:r>
          </w:p>
        </w:tc>
        <w:tc>
          <w:tcPr>
            <w:tcW w:w="91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54,98</w:t>
            </w:r>
          </w:p>
        </w:tc>
        <w:tc>
          <w:tcPr>
            <w:tcW w:w="91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14,98</w:t>
            </w:r>
          </w:p>
        </w:tc>
      </w:tr>
    </w:tbl>
    <w:p w:rsidR="003D4DA1" w:rsidRDefault="003D4DA1">
      <w:pPr>
        <w:spacing w:after="0" w:line="240" w:lineRule="auto"/>
        <w:rPr>
          <w:rFonts w:cstheme="minorHAnsi"/>
          <w:b/>
        </w:rPr>
      </w:pPr>
    </w:p>
    <w:p w:rsidR="003D4DA1" w:rsidRDefault="003D4DA1">
      <w:pPr>
        <w:spacing w:after="0" w:line="240" w:lineRule="auto"/>
        <w:rPr>
          <w:rFonts w:cstheme="minorHAnsi"/>
          <w:b/>
        </w:rPr>
      </w:pPr>
    </w:p>
    <w:p w:rsidR="003D4DA1" w:rsidRDefault="000C790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POKAZATELJI USPJEŠNOSTI </w:t>
      </w:r>
      <w:r>
        <w:rPr>
          <w:rFonts w:cstheme="minorHAnsi"/>
          <w:b/>
          <w:u w:val="single"/>
        </w:rPr>
        <w:t>PROGRAMA</w:t>
      </w:r>
      <w:r>
        <w:rPr>
          <w:rFonts w:cstheme="minorHAnsi"/>
          <w:b/>
        </w:rPr>
        <w:t xml:space="preserve">: </w:t>
      </w:r>
    </w:p>
    <w:p w:rsidR="003D4DA1" w:rsidRDefault="003D4DA1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2062"/>
        <w:gridCol w:w="1502"/>
        <w:gridCol w:w="1502"/>
        <w:gridCol w:w="1502"/>
      </w:tblGrid>
      <w:tr w:rsidR="003D4DA1">
        <w:trPr>
          <w:trHeight w:val="366"/>
        </w:trPr>
        <w:tc>
          <w:tcPr>
            <w:tcW w:w="1271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268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Definicija</w:t>
            </w:r>
          </w:p>
        </w:tc>
        <w:tc>
          <w:tcPr>
            <w:tcW w:w="2062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Ciljana vrijednost 2026.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01.01.-30.06.</w:t>
            </w:r>
            <w:r>
              <w:rPr>
                <w:rFonts w:cstheme="minorHAnsi"/>
                <w:b/>
              </w:rPr>
              <w:t>2026.</w:t>
            </w:r>
          </w:p>
        </w:tc>
      </w:tr>
      <w:tr w:rsidR="003D4DA1">
        <w:trPr>
          <w:trHeight w:val="119"/>
        </w:trPr>
        <w:tc>
          <w:tcPr>
            <w:tcW w:w="1271" w:type="dxa"/>
          </w:tcPr>
          <w:p w:rsidR="003D4DA1" w:rsidRDefault="000C790A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cstheme="minorHAnsi"/>
              </w:rPr>
              <w:t>Broj aktivnost Učeničke zadruge</w:t>
            </w:r>
          </w:p>
        </w:tc>
        <w:tc>
          <w:tcPr>
            <w:tcW w:w="2268" w:type="dxa"/>
          </w:tcPr>
          <w:p w:rsidR="003D4DA1" w:rsidRDefault="000C790A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cstheme="minorHAnsi"/>
              </w:rPr>
              <w:t xml:space="preserve">Sudjelovanjem na različitim manifestacijama </w:t>
            </w:r>
          </w:p>
        </w:tc>
        <w:tc>
          <w:tcPr>
            <w:tcW w:w="2062" w:type="dxa"/>
          </w:tcPr>
          <w:p w:rsidR="003D4DA1" w:rsidRDefault="000C790A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cstheme="minorHAnsi"/>
              </w:rPr>
              <w:t>Broj aktivnosti u godini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</w:tbl>
    <w:p w:rsidR="003D4DA1" w:rsidRDefault="003D4DA1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:rsidR="003D4DA1" w:rsidRDefault="003D4DA1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:rsidR="003D4DA1" w:rsidRDefault="000C790A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  <w:u w:val="single"/>
        </w:rPr>
      </w:pPr>
      <w:r>
        <w:rPr>
          <w:rFonts w:cstheme="minorHAnsi"/>
          <w:b/>
          <w:i/>
          <w:iCs/>
          <w:u w:val="single"/>
        </w:rPr>
        <w:t>ŠIFRA I NAZIV PROGRAMA:  141 Javne potrebe iznad zakonskog standarda SŠ</w:t>
      </w:r>
    </w:p>
    <w:p w:rsidR="003D4DA1" w:rsidRDefault="003D4DA1">
      <w:pPr>
        <w:spacing w:after="0" w:line="240" w:lineRule="auto"/>
        <w:rPr>
          <w:rFonts w:cstheme="minorHAnsi"/>
          <w:bCs/>
          <w:highlight w:val="yellow"/>
        </w:rPr>
      </w:pPr>
    </w:p>
    <w:p w:rsidR="003D4DA1" w:rsidRDefault="000C790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SVRHA PROGRAMA: </w:t>
      </w:r>
    </w:p>
    <w:p w:rsidR="003D4DA1" w:rsidRDefault="000C790A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>Programom javnih potreba iznad zakonskog standarda-vlastiti prihodi, nastoji se poboljšati standard učenika, u smislu uređenja škole, poticanje kreativnog izražavanja. Nabavom opreme i uređenjem prostora škole, nastoji se što kvalitetnije provesti nastavni</w:t>
      </w:r>
      <w:r>
        <w:rPr>
          <w:rFonts w:cstheme="minorHAnsi"/>
          <w:i/>
        </w:rPr>
        <w:t xml:space="preserve"> planpoticajni je program koji se dijelom financira iz sredstava osnivača s ciljem unapređenja srednjoškolskog sustava, a drugim dijelom iz ostalih izvora (pomoći od nenadležnih proračuna, donacije, pomoći Fondova EU, prihodi po posebnim propisima isl.). O</w:t>
      </w:r>
      <w:r>
        <w:rPr>
          <w:rFonts w:cstheme="minorHAnsi"/>
          <w:i/>
        </w:rPr>
        <w:t>vim sredstvima nastoji se unaprjeđivati rad škole sudjelovanjem u suvremenim promjenama, poticati uvođenje i primjenu novih metoda i oblika nastavnog i školskog rada, stručna pedagoška i didaktičko-metodička pomoć u ostvarivanju nastavnih planova i program</w:t>
      </w:r>
      <w:r>
        <w:rPr>
          <w:rFonts w:cstheme="minorHAnsi"/>
          <w:i/>
        </w:rPr>
        <w:t>a. Vrši se provođenje razvojnih projekata, vrednovanje realizacije nastavnih programa i školskog rada, učenika i razrednih odjelaručna pe, predlaganje načina za unapređenje kvalitete rada škole, kulture škole, sudjelovanje u školskim, županijskim, regional</w:t>
      </w:r>
      <w:r>
        <w:rPr>
          <w:rFonts w:cstheme="minorHAnsi"/>
          <w:i/>
        </w:rPr>
        <w:t>nim i međunarodnim n atjecanjima i projektima. Programom se želi omogućiti stjecanje znanja i vještina učenika prema njihovim potrebama i interesima, zadovoljiti specifične potrebe pojedinih grupacija učenika, poboljšati sigurnost u školi te društveno prom</w:t>
      </w:r>
      <w:r>
        <w:rPr>
          <w:rFonts w:cstheme="minorHAnsi"/>
          <w:i/>
        </w:rPr>
        <w:t>ovirati djelatnost.</w:t>
      </w:r>
    </w:p>
    <w:p w:rsidR="003D4DA1" w:rsidRDefault="000C790A">
      <w:pPr>
        <w:spacing w:after="0"/>
        <w:jc w:val="both"/>
        <w:rPr>
          <w:rFonts w:cstheme="minorHAnsi"/>
          <w:bCs/>
          <w:i/>
          <w:iCs/>
        </w:rPr>
      </w:pPr>
      <w:r>
        <w:rPr>
          <w:rFonts w:cstheme="minorHAnsi"/>
          <w:b/>
        </w:rPr>
        <w:lastRenderedPageBreak/>
        <w:t xml:space="preserve">POVEZANOST PROGRAMA SA STRATEŠKIM DOKUMENTIMA: </w:t>
      </w:r>
    </w:p>
    <w:p w:rsidR="003D4DA1" w:rsidRDefault="000C790A">
      <w:pPr>
        <w:spacing w:after="0"/>
        <w:jc w:val="both"/>
        <w:rPr>
          <w:rFonts w:cstheme="minorHAnsi"/>
        </w:rPr>
      </w:pPr>
      <w:r>
        <w:rPr>
          <w:rFonts w:cstheme="minorHAnsi"/>
        </w:rPr>
        <w:t>Javne ptrebe iznad standarda utvrđuju se pedagoškim standardom srednjeg školstva u Republici Hrvatskoj, a definirane su i u Zakonu o odgoju i obrazovanju u osnovnoj i srednjoj školi te slu</w:t>
      </w:r>
      <w:r>
        <w:rPr>
          <w:rFonts w:cstheme="minorHAnsi"/>
        </w:rPr>
        <w:t>že zadovoljavanju opće društvenih potreba Karlovačke županije i jačanju suradnje sa širom zajednicom.</w:t>
      </w:r>
    </w:p>
    <w:p w:rsidR="003D4DA1" w:rsidRDefault="003D4DA1">
      <w:pPr>
        <w:spacing w:after="0"/>
        <w:jc w:val="both"/>
        <w:rPr>
          <w:rFonts w:cstheme="minorHAnsi"/>
          <w:b/>
        </w:rPr>
      </w:pPr>
    </w:p>
    <w:p w:rsidR="003D4DA1" w:rsidRDefault="000C790A">
      <w:pPr>
        <w:spacing w:after="0"/>
        <w:jc w:val="both"/>
        <w:rPr>
          <w:rFonts w:cstheme="minorHAnsi"/>
          <w:i/>
        </w:rPr>
      </w:pPr>
      <w:r>
        <w:rPr>
          <w:rFonts w:cstheme="minorHAnsi"/>
          <w:b/>
        </w:rPr>
        <w:t xml:space="preserve">ZAKONSKE I DRUGE PODLOGE NA KOJIMA SE PROGRAM ZASNIVA: </w:t>
      </w:r>
    </w:p>
    <w:p w:rsidR="003D4DA1" w:rsidRDefault="000C790A">
      <w:pPr>
        <w:spacing w:after="0"/>
        <w:jc w:val="both"/>
        <w:rPr>
          <w:rFonts w:cstheme="minorHAnsi"/>
        </w:rPr>
      </w:pPr>
      <w:r>
        <w:rPr>
          <w:rFonts w:cstheme="minorHAnsi"/>
        </w:rPr>
        <w:t>Zakon o proračunu RH (NN br. 144/21), Zakon o odgoju i obrazovanju u osnovnoj i srednjoj školi (N</w:t>
      </w:r>
      <w:r>
        <w:rPr>
          <w:rFonts w:cstheme="minorHAnsi"/>
        </w:rPr>
        <w:t>N 87/08., 86/09., 92/10., 105/10., 90/11.,5/12., 16/12., 86/12.,126/12., 94/13., 152/14, 7/17, 68/18., 98/19., 64/20, 151/22, 155/23, 156/23), Odluka o kriterijima i mjerilima za utvrđivanje bilančnih prava za financiranje minimalnog financijskog standarda</w:t>
      </w:r>
      <w:r>
        <w:rPr>
          <w:rFonts w:cstheme="minorHAnsi"/>
        </w:rPr>
        <w:t xml:space="preserve"> javnih potreba srednjih škola i učeničkih domova, Upute proračunskim korisnicima za izradu Proračuna Karlovačke županije za razdoblje 2026-2027., Godišnji plan i program rada i Statut Srednje škole Duga Resa.</w:t>
      </w:r>
    </w:p>
    <w:p w:rsidR="003D4DA1" w:rsidRDefault="003D4DA1">
      <w:pPr>
        <w:spacing w:after="0"/>
        <w:jc w:val="both"/>
        <w:rPr>
          <w:rFonts w:cstheme="minorHAnsi"/>
          <w:b/>
          <w:highlight w:val="yellow"/>
        </w:rPr>
      </w:pPr>
    </w:p>
    <w:p w:rsidR="003D4DA1" w:rsidRDefault="000C790A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IZVRŠENJE </w:t>
      </w:r>
      <w:r>
        <w:rPr>
          <w:rFonts w:cstheme="minorHAnsi"/>
          <w:b/>
          <w:bCs/>
          <w:u w:val="single"/>
        </w:rPr>
        <w:t>PROGRAMA</w:t>
      </w:r>
      <w:r>
        <w:rPr>
          <w:rFonts w:cstheme="minorHAnsi"/>
          <w:b/>
          <w:bCs/>
        </w:rPr>
        <w:t xml:space="preserve"> S OSVRTOM NA CILJEVE KOJI </w:t>
      </w:r>
      <w:r>
        <w:rPr>
          <w:rFonts w:cstheme="minorHAnsi"/>
          <w:b/>
          <w:bCs/>
        </w:rPr>
        <w:t xml:space="preserve">SU OSTVARENI NJEGOVOM PROVEDBOM </w:t>
      </w:r>
    </w:p>
    <w:p w:rsidR="003D4DA1" w:rsidRDefault="000C790A">
      <w:pPr>
        <w:spacing w:after="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Sredstva se troše u skladu s financijskim planom i Godišnjim planom i programom rada škole.</w:t>
      </w:r>
    </w:p>
    <w:p w:rsidR="003D4DA1" w:rsidRDefault="000C790A">
      <w:pPr>
        <w:spacing w:after="0"/>
        <w:jc w:val="both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A100161A – Javne potrebe iznad standarda – OSTALO</w:t>
      </w:r>
    </w:p>
    <w:p w:rsidR="003D4DA1" w:rsidRDefault="000C790A">
      <w:pPr>
        <w:spacing w:after="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obuhvaćaju rashode vezano za participaciju učenika. U 2026. godini je realizirano 3.890,12 EUR, odnosno 30,63 % planiranog godišnjeg iznosa rashoda.</w:t>
      </w:r>
    </w:p>
    <w:p w:rsidR="003D4DA1" w:rsidRDefault="000C790A">
      <w:pPr>
        <w:spacing w:after="0"/>
        <w:jc w:val="both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A100161B - Djelanost Učeničkog doma - prehrana i smještaj</w:t>
      </w:r>
    </w:p>
    <w:p w:rsidR="003D4DA1" w:rsidRDefault="000C790A">
      <w:pPr>
        <w:spacing w:after="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obuhvaćaju rashode za namirnice i energente u uče</w:t>
      </w:r>
      <w:r>
        <w:rPr>
          <w:rFonts w:cstheme="minorHAnsi"/>
          <w:i/>
          <w:iCs/>
        </w:rPr>
        <w:t>ničkom domu. U 2026. godini je realizirano 19.195,56 EUR, odnosno 32,53 % planiranog godišnjeg iznosa rashoda.</w:t>
      </w:r>
    </w:p>
    <w:p w:rsidR="003D4DA1" w:rsidRDefault="003D4DA1">
      <w:pPr>
        <w:spacing w:after="0" w:line="240" w:lineRule="auto"/>
        <w:rPr>
          <w:rFonts w:cstheme="minorHAnsi"/>
          <w:b/>
          <w:i/>
          <w:iCs/>
          <w:color w:val="FF0000"/>
        </w:rPr>
      </w:pPr>
    </w:p>
    <w:p w:rsidR="003D4DA1" w:rsidRDefault="000C790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 ZA SIJEČANJ-LIPANJ 2026.</w:t>
      </w:r>
    </w:p>
    <w:p w:rsidR="003D4DA1" w:rsidRDefault="003D4DA1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9936" w:type="dxa"/>
        <w:tblLook w:val="04A0" w:firstRow="1" w:lastRow="0" w:firstColumn="1" w:lastColumn="0" w:noHBand="0" w:noVBand="1"/>
      </w:tblPr>
      <w:tblGrid>
        <w:gridCol w:w="952"/>
        <w:gridCol w:w="1986"/>
        <w:gridCol w:w="1400"/>
        <w:gridCol w:w="1312"/>
        <w:gridCol w:w="1221"/>
        <w:gridCol w:w="1285"/>
        <w:gridCol w:w="890"/>
        <w:gridCol w:w="890"/>
      </w:tblGrid>
      <w:tr w:rsidR="003D4DA1">
        <w:trPr>
          <w:trHeight w:val="870"/>
        </w:trPr>
        <w:tc>
          <w:tcPr>
            <w:tcW w:w="1058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830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438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IZVRŠENJE 01.01.-30.06.2025</w:t>
            </w:r>
          </w:p>
        </w:tc>
        <w:tc>
          <w:tcPr>
            <w:tcW w:w="1332" w:type="dxa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PLAN </w:t>
            </w:r>
          </w:p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      2026.</w:t>
            </w:r>
          </w:p>
        </w:tc>
        <w:tc>
          <w:tcPr>
            <w:tcW w:w="1221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 REBALANS</w:t>
            </w:r>
            <w:r>
              <w:rPr>
                <w:rFonts w:cstheme="minorHAnsi"/>
                <w:b/>
              </w:rPr>
              <w:t xml:space="preserve"> </w:t>
            </w:r>
          </w:p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2026.</w:t>
            </w:r>
          </w:p>
        </w:tc>
        <w:tc>
          <w:tcPr>
            <w:tcW w:w="1281" w:type="dxa"/>
            <w:vAlign w:val="center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IZVRŠENJE 01.01.-30.06.2026.</w:t>
            </w:r>
          </w:p>
        </w:tc>
        <w:tc>
          <w:tcPr>
            <w:tcW w:w="888" w:type="dxa"/>
            <w:vAlign w:val="center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INDEKS %</w:t>
            </w:r>
          </w:p>
        </w:tc>
        <w:tc>
          <w:tcPr>
            <w:tcW w:w="888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INDEKS %</w:t>
            </w:r>
          </w:p>
        </w:tc>
      </w:tr>
      <w:tr w:rsidR="003D4DA1">
        <w:trPr>
          <w:trHeight w:val="224"/>
        </w:trPr>
        <w:tc>
          <w:tcPr>
            <w:tcW w:w="1058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830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438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32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21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1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88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88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3D4DA1">
        <w:trPr>
          <w:trHeight w:val="434"/>
        </w:trPr>
        <w:tc>
          <w:tcPr>
            <w:tcW w:w="1058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1830" w:type="dxa"/>
          </w:tcPr>
          <w:p w:rsidR="003D4DA1" w:rsidRDefault="000C790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Županijske javne potrebe-SŠ</w:t>
            </w:r>
          </w:p>
        </w:tc>
        <w:tc>
          <w:tcPr>
            <w:tcW w:w="143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12.150,83</w:t>
            </w:r>
          </w:p>
        </w:tc>
        <w:tc>
          <w:tcPr>
            <w:tcW w:w="1332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174.323,81</w:t>
            </w:r>
          </w:p>
        </w:tc>
        <w:tc>
          <w:tcPr>
            <w:tcW w:w="122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174.323,81</w:t>
            </w:r>
          </w:p>
        </w:tc>
        <w:tc>
          <w:tcPr>
            <w:tcW w:w="128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1.146,39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9,43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0,66</w:t>
            </w:r>
          </w:p>
        </w:tc>
      </w:tr>
      <w:tr w:rsidR="003D4DA1">
        <w:trPr>
          <w:trHeight w:val="660"/>
        </w:trPr>
        <w:tc>
          <w:tcPr>
            <w:tcW w:w="1058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1830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Javne potrebe iznad standarda-donacije</w:t>
            </w:r>
          </w:p>
        </w:tc>
        <w:tc>
          <w:tcPr>
            <w:tcW w:w="1438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1332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12.000,00</w:t>
            </w:r>
          </w:p>
        </w:tc>
        <w:tc>
          <w:tcPr>
            <w:tcW w:w="122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12.000,00</w:t>
            </w:r>
          </w:p>
        </w:tc>
        <w:tc>
          <w:tcPr>
            <w:tcW w:w="128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3.860,18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32,17</w:t>
            </w:r>
          </w:p>
        </w:tc>
      </w:tr>
      <w:tr w:rsidR="003D4DA1">
        <w:trPr>
          <w:trHeight w:val="652"/>
        </w:trPr>
        <w:tc>
          <w:tcPr>
            <w:tcW w:w="1058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1830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Javne potrebe iznad standarda-ostalo</w:t>
            </w:r>
          </w:p>
        </w:tc>
        <w:tc>
          <w:tcPr>
            <w:tcW w:w="143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1.327,54</w:t>
            </w:r>
          </w:p>
        </w:tc>
        <w:tc>
          <w:tcPr>
            <w:tcW w:w="1332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12.700,00</w:t>
            </w:r>
          </w:p>
        </w:tc>
        <w:tc>
          <w:tcPr>
            <w:tcW w:w="122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12.700,00</w:t>
            </w:r>
          </w:p>
        </w:tc>
        <w:tc>
          <w:tcPr>
            <w:tcW w:w="128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3.890,12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293,03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30,63</w:t>
            </w:r>
          </w:p>
        </w:tc>
      </w:tr>
      <w:tr w:rsidR="003D4DA1">
        <w:trPr>
          <w:trHeight w:val="652"/>
        </w:trPr>
        <w:tc>
          <w:tcPr>
            <w:tcW w:w="1058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1830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Djelanost Učeničkog doma - prehrana i smještaj</w:t>
            </w:r>
          </w:p>
        </w:tc>
        <w:tc>
          <w:tcPr>
            <w:tcW w:w="143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15.531,24</w:t>
            </w:r>
          </w:p>
        </w:tc>
        <w:tc>
          <w:tcPr>
            <w:tcW w:w="1332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59.000,00</w:t>
            </w:r>
          </w:p>
        </w:tc>
        <w:tc>
          <w:tcPr>
            <w:tcW w:w="122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59.000,00</w:t>
            </w:r>
          </w:p>
        </w:tc>
        <w:tc>
          <w:tcPr>
            <w:tcW w:w="128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19.195,56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123,59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32,53</w:t>
            </w:r>
          </w:p>
        </w:tc>
      </w:tr>
      <w:tr w:rsidR="003D4DA1">
        <w:trPr>
          <w:trHeight w:val="660"/>
        </w:trPr>
        <w:tc>
          <w:tcPr>
            <w:tcW w:w="1058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1830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Prijenos sredstava od nenadležnih proračuna</w:t>
            </w:r>
          </w:p>
        </w:tc>
        <w:tc>
          <w:tcPr>
            <w:tcW w:w="143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1.368,57</w:t>
            </w:r>
          </w:p>
        </w:tc>
        <w:tc>
          <w:tcPr>
            <w:tcW w:w="1332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26.875,00</w:t>
            </w:r>
          </w:p>
        </w:tc>
        <w:tc>
          <w:tcPr>
            <w:tcW w:w="122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26.875,00</w:t>
            </w:r>
          </w:p>
        </w:tc>
        <w:tc>
          <w:tcPr>
            <w:tcW w:w="128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4.924,53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359,83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18,32</w:t>
            </w:r>
          </w:p>
        </w:tc>
      </w:tr>
      <w:tr w:rsidR="003D4DA1">
        <w:trPr>
          <w:trHeight w:val="660"/>
        </w:trPr>
        <w:tc>
          <w:tcPr>
            <w:tcW w:w="1058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1830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Javne potrebe iznad standarda - projekti EU-a - korisnici</w:t>
            </w:r>
          </w:p>
        </w:tc>
        <w:tc>
          <w:tcPr>
            <w:tcW w:w="1438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1332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19.000,00</w:t>
            </w:r>
          </w:p>
        </w:tc>
        <w:tc>
          <w:tcPr>
            <w:tcW w:w="122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19.000,00</w:t>
            </w:r>
          </w:p>
        </w:tc>
        <w:tc>
          <w:tcPr>
            <w:tcW w:w="1281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3D4DA1">
        <w:trPr>
          <w:trHeight w:val="652"/>
        </w:trPr>
        <w:tc>
          <w:tcPr>
            <w:tcW w:w="2888" w:type="dxa"/>
            <w:gridSpan w:val="2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43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30.378,18</w:t>
            </w:r>
          </w:p>
        </w:tc>
        <w:tc>
          <w:tcPr>
            <w:tcW w:w="1332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303.898,81</w:t>
            </w:r>
          </w:p>
        </w:tc>
        <w:tc>
          <w:tcPr>
            <w:tcW w:w="122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303.898,81</w:t>
            </w:r>
          </w:p>
        </w:tc>
        <w:tc>
          <w:tcPr>
            <w:tcW w:w="1281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33.016,78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108,69</w:t>
            </w:r>
          </w:p>
        </w:tc>
        <w:tc>
          <w:tcPr>
            <w:tcW w:w="88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10,86</w:t>
            </w:r>
          </w:p>
        </w:tc>
      </w:tr>
    </w:tbl>
    <w:p w:rsidR="003D4DA1" w:rsidRDefault="003D4DA1">
      <w:pPr>
        <w:spacing w:after="0" w:line="240" w:lineRule="auto"/>
        <w:rPr>
          <w:rFonts w:cstheme="minorHAnsi"/>
          <w:b/>
          <w:bCs/>
        </w:rPr>
      </w:pPr>
    </w:p>
    <w:p w:rsidR="003D4DA1" w:rsidRDefault="003D4DA1">
      <w:pPr>
        <w:spacing w:after="0" w:line="240" w:lineRule="auto"/>
        <w:rPr>
          <w:rFonts w:cstheme="minorHAnsi"/>
          <w:b/>
          <w:highlight w:val="yellow"/>
        </w:rPr>
      </w:pPr>
    </w:p>
    <w:p w:rsidR="003D4DA1" w:rsidRDefault="003D4DA1">
      <w:pPr>
        <w:spacing w:after="0" w:line="240" w:lineRule="auto"/>
        <w:rPr>
          <w:rFonts w:cstheme="minorHAnsi"/>
          <w:b/>
          <w:highlight w:val="yellow"/>
        </w:rPr>
      </w:pPr>
    </w:p>
    <w:p w:rsidR="003D4DA1" w:rsidRDefault="003D4DA1">
      <w:pPr>
        <w:spacing w:after="0" w:line="240" w:lineRule="auto"/>
        <w:rPr>
          <w:rFonts w:cstheme="minorHAnsi"/>
          <w:b/>
          <w:highlight w:val="yellow"/>
        </w:rPr>
      </w:pPr>
    </w:p>
    <w:p w:rsidR="003D4DA1" w:rsidRDefault="003D4DA1">
      <w:pPr>
        <w:spacing w:after="0" w:line="240" w:lineRule="auto"/>
        <w:rPr>
          <w:rFonts w:cstheme="minorHAnsi"/>
          <w:b/>
          <w:highlight w:val="yellow"/>
        </w:rPr>
      </w:pPr>
    </w:p>
    <w:p w:rsidR="003D4DA1" w:rsidRDefault="000C790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POKAZATELJI USPJEŠNOSTI </w:t>
      </w:r>
      <w:r>
        <w:rPr>
          <w:rFonts w:cstheme="minorHAnsi"/>
          <w:b/>
          <w:u w:val="single"/>
        </w:rPr>
        <w:t>PROGRAMA</w:t>
      </w:r>
      <w:r>
        <w:rPr>
          <w:rFonts w:cstheme="minorHAnsi"/>
          <w:b/>
        </w:rPr>
        <w:t>:</w:t>
      </w:r>
    </w:p>
    <w:p w:rsidR="003D4DA1" w:rsidRDefault="003D4DA1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9926" w:type="dxa"/>
        <w:tblLayout w:type="fixed"/>
        <w:tblLook w:val="04A0" w:firstRow="1" w:lastRow="0" w:firstColumn="1" w:lastColumn="0" w:noHBand="0" w:noVBand="1"/>
      </w:tblPr>
      <w:tblGrid>
        <w:gridCol w:w="1583"/>
        <w:gridCol w:w="2491"/>
        <w:gridCol w:w="1671"/>
        <w:gridCol w:w="1381"/>
        <w:gridCol w:w="1381"/>
        <w:gridCol w:w="1419"/>
      </w:tblGrid>
      <w:tr w:rsidR="003D4DA1">
        <w:trPr>
          <w:trHeight w:val="312"/>
        </w:trPr>
        <w:tc>
          <w:tcPr>
            <w:tcW w:w="1583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491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Definicija</w:t>
            </w:r>
          </w:p>
        </w:tc>
        <w:tc>
          <w:tcPr>
            <w:tcW w:w="1671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Jedinica</w:t>
            </w:r>
          </w:p>
        </w:tc>
        <w:tc>
          <w:tcPr>
            <w:tcW w:w="1381" w:type="dxa"/>
            <w:tcBorders>
              <w:right w:val="single" w:sz="4" w:space="0" w:color="auto"/>
            </w:tcBorders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Polazna vrijednost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Ciljana vrijednost 2026.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01.01.-30.06.2026.</w:t>
            </w:r>
          </w:p>
        </w:tc>
      </w:tr>
      <w:tr w:rsidR="003D4DA1">
        <w:trPr>
          <w:trHeight w:val="101"/>
        </w:trPr>
        <w:tc>
          <w:tcPr>
            <w:tcW w:w="1583" w:type="dxa"/>
            <w:vAlign w:val="center"/>
          </w:tcPr>
          <w:p w:rsidR="003D4DA1" w:rsidRDefault="000C790A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Uključenost</w:t>
            </w:r>
          </w:p>
          <w:p w:rsidR="003D4DA1" w:rsidRDefault="000C790A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učenika u provedbe natjecanja</w:t>
            </w:r>
          </w:p>
        </w:tc>
        <w:tc>
          <w:tcPr>
            <w:tcW w:w="2491" w:type="dxa"/>
          </w:tcPr>
          <w:p w:rsidR="003D4DA1" w:rsidRDefault="000C790A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Poticanje učenika na sudjelovanje u županijskim natjecanjima</w:t>
            </w:r>
          </w:p>
        </w:tc>
        <w:tc>
          <w:tcPr>
            <w:tcW w:w="1671" w:type="dxa"/>
          </w:tcPr>
          <w:p w:rsidR="003D4DA1" w:rsidRDefault="000C790A">
            <w:pPr>
              <w:rPr>
                <w:rFonts w:cstheme="minorHAnsi"/>
                <w:b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postotak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3D4DA1">
        <w:trPr>
          <w:trHeight w:val="101"/>
        </w:trPr>
        <w:tc>
          <w:tcPr>
            <w:tcW w:w="1583" w:type="dxa"/>
            <w:vAlign w:val="center"/>
          </w:tcPr>
          <w:p w:rsidR="003D4DA1" w:rsidRDefault="000C790A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Higijenski ulošci</w:t>
            </w:r>
          </w:p>
        </w:tc>
        <w:tc>
          <w:tcPr>
            <w:tcW w:w="2491" w:type="dxa"/>
            <w:vAlign w:val="center"/>
          </w:tcPr>
          <w:p w:rsidR="003D4DA1" w:rsidRDefault="000C790A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Nabava higijenskih uložaka</w:t>
            </w:r>
          </w:p>
        </w:tc>
        <w:tc>
          <w:tcPr>
            <w:tcW w:w="1671" w:type="dxa"/>
          </w:tcPr>
          <w:p w:rsidR="003D4DA1" w:rsidRDefault="000C790A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učenica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220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220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220</w:t>
            </w:r>
          </w:p>
        </w:tc>
      </w:tr>
      <w:tr w:rsidR="003D4DA1">
        <w:trPr>
          <w:trHeight w:val="101"/>
        </w:trPr>
        <w:tc>
          <w:tcPr>
            <w:tcW w:w="1583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Broj primljenih donacija</w:t>
            </w:r>
          </w:p>
        </w:tc>
        <w:tc>
          <w:tcPr>
            <w:tcW w:w="2491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Primljene donacije fizičkih i pravnih osoba </w:t>
            </w:r>
          </w:p>
        </w:tc>
        <w:tc>
          <w:tcPr>
            <w:tcW w:w="1671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Broj primljenih donacija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</w:tbl>
    <w:p w:rsidR="003D4DA1" w:rsidRDefault="003D4DA1">
      <w:pPr>
        <w:spacing w:after="0" w:line="240" w:lineRule="auto"/>
        <w:rPr>
          <w:rFonts w:cstheme="minorHAnsi"/>
          <w:b/>
        </w:rPr>
      </w:pPr>
    </w:p>
    <w:p w:rsidR="003D4DA1" w:rsidRDefault="003D4DA1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:rsidR="003D4DA1" w:rsidRDefault="003D4DA1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:rsidR="003D4DA1" w:rsidRDefault="000C790A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>
        <w:rPr>
          <w:rFonts w:cstheme="minorHAnsi"/>
          <w:b/>
          <w:i/>
          <w:iCs/>
          <w:u w:val="single"/>
        </w:rPr>
        <w:t>ŠIFRA I NAZIV PROGRAMA:  201 MZOM-plaće SŠ</w:t>
      </w:r>
    </w:p>
    <w:p w:rsidR="003D4DA1" w:rsidRDefault="003D4DA1">
      <w:pPr>
        <w:spacing w:after="0" w:line="240" w:lineRule="auto"/>
        <w:rPr>
          <w:rFonts w:cstheme="minorHAnsi"/>
          <w:b/>
        </w:rPr>
      </w:pPr>
    </w:p>
    <w:p w:rsidR="003D4DA1" w:rsidRDefault="000C790A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SVRHA PROGRAMA: </w:t>
      </w:r>
    </w:p>
    <w:p w:rsidR="003D4DA1" w:rsidRDefault="000C790A">
      <w:pPr>
        <w:spacing w:after="0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>Omogućiti optimalno funkcioniranje radnih procesa kroz financiranje rashoda za zaposlenike škole. Prihodi se ostvaruju od pomoći proračunskim korisnicima iz proračuna koji im nije nadležan (podskupina računskog plana 636), a omogućava se financiranje rasho</w:t>
      </w:r>
      <w:r>
        <w:rPr>
          <w:rFonts w:eastAsia="Times New Roman" w:cstheme="minorHAnsi"/>
          <w:color w:val="000000"/>
          <w:lang w:eastAsia="hr-HR"/>
        </w:rPr>
        <w:t>da zaposlenih (plaće i ostala materijalna prava zaposlenika) i doprinosa zbog nezapošljavanja osoba s invaliditetom.</w:t>
      </w:r>
    </w:p>
    <w:p w:rsidR="003D4DA1" w:rsidRDefault="003D4DA1">
      <w:pPr>
        <w:spacing w:after="0"/>
        <w:jc w:val="both"/>
        <w:rPr>
          <w:rFonts w:cstheme="minorHAnsi"/>
          <w:b/>
          <w:highlight w:val="yellow"/>
        </w:rPr>
      </w:pPr>
    </w:p>
    <w:p w:rsidR="003D4DA1" w:rsidRDefault="000C790A">
      <w:pPr>
        <w:spacing w:after="0"/>
        <w:jc w:val="both"/>
        <w:rPr>
          <w:rFonts w:cstheme="minorHAnsi"/>
          <w:bCs/>
          <w:i/>
          <w:iCs/>
        </w:rPr>
      </w:pPr>
      <w:r>
        <w:rPr>
          <w:rFonts w:cstheme="minorHAnsi"/>
          <w:b/>
        </w:rPr>
        <w:t xml:space="preserve">POVEZANOST PROGRAMA SA STRATEŠKIM DOKUMENTIMA: </w:t>
      </w:r>
    </w:p>
    <w:p w:rsidR="003D4DA1" w:rsidRDefault="000C790A">
      <w:pPr>
        <w:spacing w:after="0"/>
        <w:jc w:val="both"/>
        <w:rPr>
          <w:rFonts w:cstheme="minorHAnsi"/>
        </w:rPr>
      </w:pPr>
      <w:r>
        <w:rPr>
          <w:rFonts w:cstheme="minorHAnsi"/>
        </w:rPr>
        <w:t>Javne potrebe u srednjem školstvu iznad zakonskog standarda utvrđuju se pedagoškim standar</w:t>
      </w:r>
      <w:r>
        <w:rPr>
          <w:rFonts w:cstheme="minorHAnsi"/>
        </w:rPr>
        <w:t>dom srednjeg školstva u Republici Hrvatskoj, a definirane su i u Zakonu o odgoju i obrazovanju u osnovnoj i srednjoj školi te služe zadovoljavanju opće društvenih potreba Karlovačke županije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 jačanju suradnje sa širom zajednicom.</w:t>
      </w:r>
    </w:p>
    <w:p w:rsidR="003D4DA1" w:rsidRDefault="003D4DA1">
      <w:pPr>
        <w:spacing w:after="0"/>
        <w:jc w:val="both"/>
        <w:rPr>
          <w:rFonts w:cstheme="minorHAnsi"/>
          <w:b/>
          <w:highlight w:val="yellow"/>
        </w:rPr>
      </w:pPr>
    </w:p>
    <w:p w:rsidR="003D4DA1" w:rsidRDefault="000C790A">
      <w:pPr>
        <w:spacing w:after="0"/>
        <w:jc w:val="both"/>
        <w:rPr>
          <w:rFonts w:cstheme="minorHAnsi"/>
          <w:i/>
        </w:rPr>
      </w:pPr>
      <w:r>
        <w:rPr>
          <w:rFonts w:cstheme="minorHAnsi"/>
          <w:b/>
        </w:rPr>
        <w:t xml:space="preserve">ZAKONSKE I DRUGE PODLOGE </w:t>
      </w:r>
      <w:r>
        <w:rPr>
          <w:rFonts w:cstheme="minorHAnsi"/>
          <w:b/>
        </w:rPr>
        <w:t xml:space="preserve">NA KOJIMA SE PROGRAM ZASNIVA: </w:t>
      </w:r>
    </w:p>
    <w:p w:rsidR="003D4DA1" w:rsidRDefault="000C790A">
      <w:pPr>
        <w:spacing w:after="0"/>
        <w:jc w:val="both"/>
        <w:rPr>
          <w:rFonts w:cstheme="minorHAnsi"/>
        </w:rPr>
      </w:pPr>
      <w:r>
        <w:rPr>
          <w:rFonts w:cstheme="minorHAnsi"/>
        </w:rPr>
        <w:t>Zakon o proračunu RH (NN br. 144/21), Zakon o odgoju i obrazovanju u osnovnoj i srednjoj školi (NN 87/08., 86/09., 92/10., 105/10., 90/11.,5/12., 16/12., 86/12.,126/12., 94/13., 152/14, 7/17, 68/18., 98/19., 64/20, 151/22, 15</w:t>
      </w:r>
      <w:r>
        <w:rPr>
          <w:rFonts w:cstheme="minorHAnsi"/>
        </w:rPr>
        <w:t>5/23, 156/23), Kolektivni ugovor za zaposlenike u srednjoškolim ustanovama NN51/2018, temeljni kolektivni ugovor za službenike i namještenike u javnim službama NN 29/2025. Odluka o kriterijima i mjerilima za utvrđivanje bilančnih prava za financiranje mini</w:t>
      </w:r>
      <w:r>
        <w:rPr>
          <w:rFonts w:cstheme="minorHAnsi"/>
        </w:rPr>
        <w:t>malnog financijskog standarda javnih potreba srednjih škola i učeničkih domova, Upute proračunskim korisnicima za izradu Proračuna Karlovačke županije za razdoblje 2026-2027., Godišnji plan i program rada i Statut Srednje škole Duga Resa.</w:t>
      </w:r>
    </w:p>
    <w:p w:rsidR="003D4DA1" w:rsidRDefault="000C790A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:rsidR="003D4DA1" w:rsidRDefault="000C790A">
      <w:pPr>
        <w:spacing w:after="0"/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IZVRŠENJE PROGR</w:t>
      </w:r>
      <w:r>
        <w:rPr>
          <w:rFonts w:cstheme="minorHAnsi"/>
          <w:b/>
          <w:bCs/>
          <w:u w:val="single"/>
        </w:rPr>
        <w:t xml:space="preserve">AMA S OSVRTOM NA CILJEVE KOJI SU OSTVARENI NJEGOVOM PROVEDBOM </w:t>
      </w:r>
    </w:p>
    <w:p w:rsidR="003D4DA1" w:rsidRDefault="000C790A">
      <w:pPr>
        <w:spacing w:after="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Sredstva se troše u skladu s financijskim planom i Godišnjim planom i programom rada škole.</w:t>
      </w:r>
    </w:p>
    <w:p w:rsidR="003D4DA1" w:rsidRDefault="000C790A">
      <w:pPr>
        <w:spacing w:after="0"/>
        <w:jc w:val="both"/>
        <w:rPr>
          <w:rFonts w:cstheme="minorHAnsi"/>
        </w:rPr>
      </w:pPr>
      <w:r>
        <w:rPr>
          <w:rFonts w:cstheme="minorHAnsi"/>
          <w:bCs/>
        </w:rPr>
        <w:t>Svi rashodi za zaposlene</w:t>
      </w:r>
      <w:r>
        <w:rPr>
          <w:rFonts w:cstheme="minorHAnsi"/>
        </w:rPr>
        <w:t xml:space="preserve"> podmirivani su u zakonskom roku. </w:t>
      </w:r>
    </w:p>
    <w:p w:rsidR="003D4DA1" w:rsidRDefault="000C790A">
      <w:pPr>
        <w:spacing w:after="0"/>
        <w:jc w:val="both"/>
        <w:rPr>
          <w:rFonts w:cstheme="minorHAnsi"/>
        </w:rPr>
      </w:pPr>
      <w:r>
        <w:rPr>
          <w:rFonts w:cstheme="minorHAnsi"/>
        </w:rPr>
        <w:t>Sredstva su utrošena na isplatu plaća, materijalnih prava zaposlenika i naknade zbog nezapošljavanja kvote osoba s invaliditetom.</w:t>
      </w:r>
    </w:p>
    <w:p w:rsidR="003D4DA1" w:rsidRDefault="003D4DA1">
      <w:pPr>
        <w:spacing w:after="0" w:line="240" w:lineRule="auto"/>
        <w:rPr>
          <w:rFonts w:cstheme="minorHAnsi"/>
          <w:b/>
          <w:bCs/>
        </w:rPr>
      </w:pPr>
    </w:p>
    <w:p w:rsidR="003D4DA1" w:rsidRDefault="000C790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 ZA SIJEČANJ-LIPANJ 2026.</w:t>
      </w:r>
    </w:p>
    <w:p w:rsidR="003D4DA1" w:rsidRDefault="003D4DA1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2"/>
        <w:gridCol w:w="2060"/>
        <w:gridCol w:w="1333"/>
        <w:gridCol w:w="1437"/>
        <w:gridCol w:w="1437"/>
        <w:gridCol w:w="1336"/>
        <w:gridCol w:w="928"/>
        <w:gridCol w:w="923"/>
      </w:tblGrid>
      <w:tr w:rsidR="003D4DA1">
        <w:trPr>
          <w:trHeight w:val="637"/>
        </w:trPr>
        <w:tc>
          <w:tcPr>
            <w:tcW w:w="532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060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333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IZVRŠENJE 01.01.-30.06.2025.</w:t>
            </w:r>
          </w:p>
        </w:tc>
        <w:tc>
          <w:tcPr>
            <w:tcW w:w="1437" w:type="dxa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PLAN </w:t>
            </w:r>
          </w:p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  </w:t>
            </w:r>
            <w:r>
              <w:rPr>
                <w:rFonts w:cstheme="minorHAnsi"/>
                <w:b/>
              </w:rPr>
              <w:t xml:space="preserve">     2026.</w:t>
            </w:r>
          </w:p>
        </w:tc>
        <w:tc>
          <w:tcPr>
            <w:tcW w:w="1437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 REBALANS </w:t>
            </w:r>
          </w:p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 2026.</w:t>
            </w:r>
          </w:p>
        </w:tc>
        <w:tc>
          <w:tcPr>
            <w:tcW w:w="1336" w:type="dxa"/>
            <w:vAlign w:val="center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IZVRŠENJE 01.01.-30.06.2026.</w:t>
            </w:r>
          </w:p>
        </w:tc>
        <w:tc>
          <w:tcPr>
            <w:tcW w:w="928" w:type="dxa"/>
            <w:vAlign w:val="center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INDEKS %</w:t>
            </w:r>
          </w:p>
        </w:tc>
        <w:tc>
          <w:tcPr>
            <w:tcW w:w="923" w:type="dxa"/>
          </w:tcPr>
          <w:p w:rsidR="003D4DA1" w:rsidRDefault="000C79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INDEKS %</w:t>
            </w:r>
          </w:p>
        </w:tc>
      </w:tr>
      <w:tr w:rsidR="003D4DA1">
        <w:trPr>
          <w:trHeight w:val="217"/>
        </w:trPr>
        <w:tc>
          <w:tcPr>
            <w:tcW w:w="532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060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333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437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437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336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28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23" w:type="dxa"/>
          </w:tcPr>
          <w:p w:rsidR="003D4DA1" w:rsidRDefault="000C790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3D4DA1">
        <w:trPr>
          <w:trHeight w:val="217"/>
        </w:trPr>
        <w:tc>
          <w:tcPr>
            <w:tcW w:w="532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2060" w:type="dxa"/>
          </w:tcPr>
          <w:p w:rsidR="003D4DA1" w:rsidRDefault="000C790A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MZOM-plaće</w:t>
            </w:r>
          </w:p>
        </w:tc>
        <w:tc>
          <w:tcPr>
            <w:tcW w:w="1333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871.776,76</w:t>
            </w:r>
          </w:p>
        </w:tc>
        <w:tc>
          <w:tcPr>
            <w:tcW w:w="1437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1.467.000,00</w:t>
            </w:r>
          </w:p>
        </w:tc>
        <w:tc>
          <w:tcPr>
            <w:tcW w:w="1437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1.467.000,00</w:t>
            </w:r>
          </w:p>
        </w:tc>
        <w:tc>
          <w:tcPr>
            <w:tcW w:w="1336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847.352,69</w:t>
            </w:r>
          </w:p>
        </w:tc>
        <w:tc>
          <w:tcPr>
            <w:tcW w:w="928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97,2</w:t>
            </w:r>
          </w:p>
        </w:tc>
        <w:tc>
          <w:tcPr>
            <w:tcW w:w="923" w:type="dxa"/>
            <w:vAlign w:val="bottom"/>
          </w:tcPr>
          <w:p w:rsidR="003D4DA1" w:rsidRDefault="000C790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57,76</w:t>
            </w:r>
          </w:p>
        </w:tc>
      </w:tr>
    </w:tbl>
    <w:p w:rsidR="003D4DA1" w:rsidRDefault="003D4DA1">
      <w:pPr>
        <w:spacing w:after="0" w:line="240" w:lineRule="auto"/>
        <w:rPr>
          <w:rFonts w:cstheme="minorHAnsi"/>
          <w:b/>
          <w:bCs/>
        </w:rPr>
      </w:pPr>
    </w:p>
    <w:p w:rsidR="003D4DA1" w:rsidRDefault="003D4DA1">
      <w:pPr>
        <w:spacing w:after="0" w:line="240" w:lineRule="auto"/>
        <w:rPr>
          <w:rFonts w:cstheme="minorHAnsi"/>
          <w:b/>
          <w:highlight w:val="yellow"/>
        </w:rPr>
      </w:pPr>
    </w:p>
    <w:p w:rsidR="003D4DA1" w:rsidRDefault="000C790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POKAZATELJI USPJEŠNOSTI </w:t>
      </w:r>
      <w:r>
        <w:rPr>
          <w:rFonts w:cstheme="minorHAnsi"/>
          <w:b/>
          <w:u w:val="single"/>
        </w:rPr>
        <w:t>PROGRAMA</w:t>
      </w:r>
      <w:r>
        <w:rPr>
          <w:rFonts w:cstheme="minorHAnsi"/>
          <w:b/>
        </w:rPr>
        <w:t>:</w:t>
      </w:r>
    </w:p>
    <w:p w:rsidR="003D4DA1" w:rsidRDefault="003D4DA1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101" w:type="dxa"/>
        <w:tblLayout w:type="fixed"/>
        <w:tblLook w:val="04A0" w:firstRow="1" w:lastRow="0" w:firstColumn="1" w:lastColumn="0" w:noHBand="0" w:noVBand="1"/>
      </w:tblPr>
      <w:tblGrid>
        <w:gridCol w:w="1611"/>
        <w:gridCol w:w="2535"/>
        <w:gridCol w:w="1700"/>
        <w:gridCol w:w="1405"/>
        <w:gridCol w:w="1405"/>
        <w:gridCol w:w="1445"/>
      </w:tblGrid>
      <w:tr w:rsidR="003D4DA1">
        <w:trPr>
          <w:trHeight w:val="101"/>
        </w:trPr>
        <w:tc>
          <w:tcPr>
            <w:tcW w:w="1611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535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Definicija</w:t>
            </w:r>
          </w:p>
        </w:tc>
        <w:tc>
          <w:tcPr>
            <w:tcW w:w="1700" w:type="dxa"/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Jedinica</w:t>
            </w: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Polazna vrijednost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Ciljana vrijednost 2026.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DA1" w:rsidRDefault="000C790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2026.</w:t>
            </w:r>
          </w:p>
        </w:tc>
      </w:tr>
      <w:tr w:rsidR="003D4DA1">
        <w:trPr>
          <w:trHeight w:val="163"/>
        </w:trPr>
        <w:tc>
          <w:tcPr>
            <w:tcW w:w="1611" w:type="dxa"/>
          </w:tcPr>
          <w:p w:rsidR="003D4DA1" w:rsidRDefault="000C790A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ar-SA"/>
              </w:rPr>
              <w:t>Broj podnesenih službenih pritužbi na ostvarenje radno materijalnih prava na  urudžbeni odjel</w:t>
            </w:r>
          </w:p>
        </w:tc>
        <w:tc>
          <w:tcPr>
            <w:tcW w:w="2535" w:type="dxa"/>
          </w:tcPr>
          <w:p w:rsidR="003D4DA1" w:rsidRDefault="000C790A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Što niži broj pritužbi zbog nemogućnosti ostvarenja radno- materijalnih prava pridonosi većem zadovoljstvu radnika i većoj produktivnosti  </w:t>
            </w:r>
          </w:p>
        </w:tc>
        <w:tc>
          <w:tcPr>
            <w:tcW w:w="1700" w:type="dxa"/>
          </w:tcPr>
          <w:p w:rsidR="003D4DA1" w:rsidRDefault="000C790A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pritužbi evidentiran u urudžbenom zapisniku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bCs/>
              </w:rPr>
              <w:t>0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bCs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A1" w:rsidRDefault="000C790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</w:tbl>
    <w:p w:rsidR="003D4DA1" w:rsidRDefault="000C790A">
      <w:pPr>
        <w:spacing w:after="0" w:line="240" w:lineRule="auto"/>
        <w:rPr>
          <w:rStyle w:val="Hiperveza"/>
          <w:rFonts w:cstheme="minorHAnsi"/>
          <w:b/>
          <w:i/>
        </w:rPr>
      </w:pPr>
      <w:r>
        <w:rPr>
          <w:rFonts w:cstheme="minorHAnsi"/>
          <w:b/>
          <w:i/>
        </w:rPr>
        <w:t xml:space="preserve">OBJAVLJENO: </w:t>
      </w:r>
      <w:hyperlink r:id="rId8" w:history="1">
        <w:r>
          <w:rPr>
            <w:rStyle w:val="Hiperveza"/>
            <w:rFonts w:cstheme="minorHAnsi"/>
            <w:b/>
            <w:i/>
          </w:rPr>
          <w:t>https://staging.ssdr.hr/category/financijski_izvjestaji/</w:t>
        </w:r>
      </w:hyperlink>
    </w:p>
    <w:p w:rsidR="003D4DA1" w:rsidRDefault="003D4DA1">
      <w:pPr>
        <w:spacing w:after="0" w:line="240" w:lineRule="auto"/>
        <w:rPr>
          <w:rFonts w:cstheme="minorHAnsi"/>
          <w:b/>
        </w:rPr>
      </w:pPr>
    </w:p>
    <w:p w:rsidR="003D4DA1" w:rsidRDefault="003D4DA1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3D4DA1">
        <w:tc>
          <w:tcPr>
            <w:tcW w:w="6379" w:type="dxa"/>
          </w:tcPr>
          <w:p w:rsidR="003D4DA1" w:rsidRDefault="000C790A">
            <w:pPr>
              <w:spacing w:line="259" w:lineRule="auto"/>
              <w:rPr>
                <w:rFonts w:cstheme="minorHAnsi"/>
                <w:b/>
              </w:rPr>
            </w:pPr>
            <w:bookmarkStart w:id="4" w:name="_Hlk128748807"/>
            <w:r>
              <w:rPr>
                <w:rFonts w:cstheme="minorHAnsi"/>
                <w:b/>
              </w:rPr>
              <w:t>REPUBLIKA HRVATSKA</w:t>
            </w:r>
          </w:p>
          <w:p w:rsidR="003D4DA1" w:rsidRDefault="000C790A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  <w:b/>
              </w:rPr>
              <w:t>SREDNJA ŠKOLA DUGA RESA</w:t>
            </w:r>
            <w:r>
              <w:rPr>
                <w:rFonts w:cstheme="minorHAnsi"/>
              </w:rPr>
              <w:t xml:space="preserve">                                                                                   </w:t>
            </w:r>
            <w:r>
              <w:rPr>
                <w:rFonts w:cstheme="minorHAnsi"/>
              </w:rPr>
              <w:t xml:space="preserve">                  Jozefinska cesta 27, 47250 Duga Resa                                                                                                      KLASA: </w:t>
            </w:r>
            <w:r>
              <w:rPr>
                <w:rFonts w:cstheme="minorHAnsi"/>
                <w:noProof/>
                <w:lang w:val="en-US"/>
              </w:rPr>
              <w:t>400-02/26-01/2</w:t>
            </w:r>
            <w:r>
              <w:rPr>
                <w:rFonts w:cstheme="minorHAnsi"/>
              </w:rPr>
              <w:t xml:space="preserve">                                                                               </w:t>
            </w:r>
            <w:r>
              <w:rPr>
                <w:rFonts w:cstheme="minorHAnsi"/>
              </w:rPr>
              <w:t xml:space="preserve">                                                         URBROJ: </w:t>
            </w:r>
            <w:r>
              <w:rPr>
                <w:rFonts w:cstheme="minorHAnsi"/>
                <w:noProof/>
              </w:rPr>
              <w:t>2133-53-03-26-1</w:t>
            </w:r>
            <w:r>
              <w:rPr>
                <w:rFonts w:cstheme="minorHAnsi"/>
              </w:rPr>
              <w:t xml:space="preserve">                                                                                                           Duga Resa, 21. srpanj 2026. godine   </w:t>
            </w:r>
          </w:p>
          <w:p w:rsidR="003D4DA1" w:rsidRDefault="003D4DA1">
            <w:pPr>
              <w:spacing w:after="160" w:line="259" w:lineRule="auto"/>
              <w:rPr>
                <w:rFonts w:cstheme="minorHAnsi"/>
              </w:rPr>
            </w:pPr>
          </w:p>
          <w:p w:rsidR="003D4DA1" w:rsidRDefault="003D4DA1">
            <w:pPr>
              <w:spacing w:after="160" w:line="259" w:lineRule="auto"/>
              <w:rPr>
                <w:rFonts w:cstheme="minorHAnsi"/>
              </w:rPr>
            </w:pPr>
          </w:p>
          <w:p w:rsidR="003D4DA1" w:rsidRDefault="003D4DA1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2693" w:type="dxa"/>
          </w:tcPr>
          <w:p w:rsidR="003D4DA1" w:rsidRDefault="000C790A">
            <w:pPr>
              <w:spacing w:after="160" w:line="259" w:lineRule="auto"/>
              <w:jc w:val="right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4"/>
    <w:p w:rsidR="003D4DA1" w:rsidRDefault="000C790A">
      <w:pPr>
        <w:spacing w:after="0" w:line="240" w:lineRule="auto"/>
        <w:rPr>
          <w:rFonts w:cstheme="minorHAnsi"/>
        </w:rPr>
      </w:pPr>
      <w:r>
        <w:rPr>
          <w:rFonts w:cstheme="minorHAnsi"/>
        </w:rPr>
        <w:t>Predsjednica Školskog odbora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M.P.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Ravnateljica</w:t>
      </w:r>
    </w:p>
    <w:p w:rsidR="003D4DA1" w:rsidRDefault="000C790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Kristina Fisel Stražanac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Tanja Škrak</w:t>
      </w:r>
    </w:p>
    <w:p w:rsidR="001C0E01" w:rsidRDefault="001C0E01">
      <w:pPr>
        <w:spacing w:after="0" w:line="240" w:lineRule="auto"/>
        <w:rPr>
          <w:rFonts w:cstheme="minorHAnsi"/>
        </w:rPr>
      </w:pPr>
      <w:bookmarkStart w:id="5" w:name="_GoBack"/>
      <w:bookmarkEnd w:id="5"/>
    </w:p>
    <w:p w:rsidR="003D4DA1" w:rsidRDefault="003D4DA1">
      <w:pPr>
        <w:spacing w:after="0" w:line="240" w:lineRule="auto"/>
        <w:rPr>
          <w:rFonts w:cstheme="minorHAnsi"/>
        </w:rPr>
      </w:pPr>
    </w:p>
    <w:p w:rsidR="003D4DA1" w:rsidRDefault="000C790A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</w:t>
      </w:r>
    </w:p>
    <w:p w:rsidR="003D4DA1" w:rsidRDefault="003D4DA1">
      <w:pPr>
        <w:spacing w:after="0" w:line="240" w:lineRule="auto"/>
        <w:jc w:val="both"/>
        <w:rPr>
          <w:rFonts w:cstheme="minorHAnsi"/>
        </w:rPr>
      </w:pPr>
    </w:p>
    <w:p w:rsidR="003D4DA1" w:rsidRDefault="003D4DA1">
      <w:pPr>
        <w:spacing w:after="0" w:line="240" w:lineRule="auto"/>
        <w:jc w:val="both"/>
        <w:rPr>
          <w:rFonts w:cstheme="minorHAnsi"/>
        </w:rPr>
      </w:pPr>
    </w:p>
    <w:p w:rsidR="003D4DA1" w:rsidRDefault="003D4DA1">
      <w:pPr>
        <w:spacing w:after="0" w:line="240" w:lineRule="auto"/>
        <w:jc w:val="both"/>
        <w:rPr>
          <w:rFonts w:cstheme="minorHAnsi"/>
        </w:rPr>
      </w:pPr>
    </w:p>
    <w:p w:rsidR="003D4DA1" w:rsidRDefault="000C790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3D4DA1">
      <w:headerReference w:type="default" r:id="rId10"/>
      <w:pgSz w:w="11906" w:h="16838"/>
      <w:pgMar w:top="142" w:right="849" w:bottom="709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90A" w:rsidRDefault="000C790A">
      <w:pPr>
        <w:spacing w:after="0" w:line="240" w:lineRule="auto"/>
      </w:pPr>
      <w:r>
        <w:separator/>
      </w:r>
    </w:p>
  </w:endnote>
  <w:endnote w:type="continuationSeparator" w:id="0">
    <w:p w:rsidR="000C790A" w:rsidRDefault="000C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90A" w:rsidRDefault="000C790A">
      <w:pPr>
        <w:spacing w:after="0" w:line="240" w:lineRule="auto"/>
      </w:pPr>
      <w:r>
        <w:separator/>
      </w:r>
    </w:p>
  </w:footnote>
  <w:footnote w:type="continuationSeparator" w:id="0">
    <w:p w:rsidR="000C790A" w:rsidRDefault="000C7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DA1" w:rsidRDefault="003D4DA1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A566B"/>
    <w:multiLevelType w:val="multilevel"/>
    <w:tmpl w:val="66D09C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DA1"/>
    <w:rsid w:val="000C790A"/>
    <w:rsid w:val="001C0E01"/>
    <w:rsid w:val="003D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0FFC"/>
  <w15:docId w15:val="{CB38A378-8220-44D5-BA3D-6D5EFACD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uiPriority w:val="99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ging.ssdr.hr/category/financijski_izvjestaj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0E5A6-AAE7-41DB-8C33-34E2CB95F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2709</Words>
  <Characters>15446</Characters>
  <Application>Microsoft Office Word</Application>
  <DocSecurity>0</DocSecurity>
  <Lines>128</Lines>
  <Paragraphs>36</Paragraphs>
  <ScaleCrop>false</ScaleCrop>
  <Company>PGŽ</Company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 Licul</dc:creator>
  <cp:lastModifiedBy>Kristina Zaborski</cp:lastModifiedBy>
  <cp:revision>81</cp:revision>
  <cp:lastPrinted>2023-07-25T07:54:00Z</cp:lastPrinted>
  <dcterms:created xsi:type="dcterms:W3CDTF">2024-07-18T16:14:00Z</dcterms:created>
  <dcterms:modified xsi:type="dcterms:W3CDTF">2026-07-22T06:23:00Z</dcterms:modified>
</cp:coreProperties>
</file>